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9DD" w14:textId="77777777" w:rsidR="00FD57E7" w:rsidRPr="001E542D" w:rsidRDefault="00FD57E7" w:rsidP="00BB5CFD">
      <w:pPr>
        <w:spacing w:after="0" w:line="240" w:lineRule="auto"/>
        <w:jc w:val="center"/>
        <w:rPr>
          <w:rFonts w:ascii="Times New Roman" w:hAnsi="Times New Roman" w:cs="Times New Roman"/>
          <w:b/>
          <w:sz w:val="28"/>
          <w:szCs w:val="24"/>
        </w:rPr>
      </w:pPr>
      <w:bookmarkStart w:id="0" w:name="_Toc221596981"/>
      <w:bookmarkStart w:id="1" w:name="_Toc220485733"/>
      <w:r w:rsidRPr="001E542D">
        <w:rPr>
          <w:rFonts w:ascii="Times New Roman" w:hAnsi="Times New Roman" w:cs="Times New Roman"/>
          <w:b/>
          <w:sz w:val="28"/>
          <w:szCs w:val="24"/>
        </w:rPr>
        <w:t>YURT</w:t>
      </w:r>
      <w:r w:rsidR="006F0CB6" w:rsidRPr="001E542D">
        <w:rPr>
          <w:rFonts w:ascii="Times New Roman" w:hAnsi="Times New Roman" w:cs="Times New Roman"/>
          <w:b/>
          <w:sz w:val="28"/>
          <w:szCs w:val="24"/>
        </w:rPr>
        <w:t xml:space="preserve"> </w:t>
      </w:r>
      <w:r w:rsidRPr="001E542D">
        <w:rPr>
          <w:rFonts w:ascii="Times New Roman" w:hAnsi="Times New Roman" w:cs="Times New Roman"/>
          <w:b/>
          <w:sz w:val="28"/>
          <w:szCs w:val="24"/>
        </w:rPr>
        <w:t>DIŞI MÜTEAHHİTLİK HİZMETLERİ GENEL NOTU</w:t>
      </w:r>
    </w:p>
    <w:p w14:paraId="29F58ECF" w14:textId="77777777" w:rsidR="00FD57E7" w:rsidRPr="00FD57E7" w:rsidRDefault="00FD57E7" w:rsidP="00BB5CFD">
      <w:pPr>
        <w:spacing w:after="0" w:line="240" w:lineRule="auto"/>
        <w:jc w:val="center"/>
        <w:rPr>
          <w:rFonts w:ascii="Times New Roman" w:hAnsi="Times New Roman" w:cs="Times New Roman"/>
          <w:b/>
          <w:bCs/>
          <w:sz w:val="24"/>
          <w:szCs w:val="24"/>
          <w:u w:val="single"/>
        </w:rPr>
      </w:pPr>
    </w:p>
    <w:p w14:paraId="4C7467C7" w14:textId="77777777" w:rsidR="00BB5CFD" w:rsidRDefault="00FD57E7" w:rsidP="00BB5CFD">
      <w:pPr>
        <w:pStyle w:val="ListeParagraf"/>
        <w:numPr>
          <w:ilvl w:val="0"/>
          <w:numId w:val="2"/>
        </w:numPr>
        <w:spacing w:after="0" w:line="240" w:lineRule="auto"/>
        <w:rPr>
          <w:rFonts w:ascii="Times New Roman" w:hAnsi="Times New Roman" w:cs="Times New Roman"/>
          <w:b/>
          <w:sz w:val="24"/>
          <w:szCs w:val="24"/>
        </w:rPr>
      </w:pPr>
      <w:bookmarkStart w:id="2" w:name="_Toc221596980"/>
      <w:bookmarkStart w:id="3" w:name="_Toc220485732"/>
      <w:bookmarkStart w:id="4" w:name="OLE_LINK6"/>
      <w:bookmarkStart w:id="5" w:name="OLE_LINK5"/>
      <w:bookmarkStart w:id="6" w:name="_Toc221596982"/>
      <w:bookmarkStart w:id="7" w:name="_Toc220485734"/>
      <w:bookmarkEnd w:id="0"/>
      <w:bookmarkEnd w:id="1"/>
      <w:r w:rsidRPr="00BB5CFD">
        <w:rPr>
          <w:rFonts w:ascii="Times New Roman" w:hAnsi="Times New Roman" w:cs="Times New Roman"/>
          <w:b/>
          <w:sz w:val="24"/>
          <w:szCs w:val="24"/>
        </w:rPr>
        <w:t>GENEL DURUM</w:t>
      </w:r>
      <w:bookmarkEnd w:id="2"/>
      <w:bookmarkEnd w:id="3"/>
    </w:p>
    <w:p w14:paraId="28BE0932" w14:textId="77777777" w:rsidR="00BB5CFD" w:rsidRPr="00BB5CFD" w:rsidRDefault="00BB5CFD" w:rsidP="00BB5CFD">
      <w:pPr>
        <w:pStyle w:val="ListeParagraf"/>
        <w:spacing w:after="0" w:line="240" w:lineRule="auto"/>
        <w:rPr>
          <w:rFonts w:ascii="Times New Roman" w:hAnsi="Times New Roman" w:cs="Times New Roman"/>
          <w:b/>
          <w:sz w:val="24"/>
          <w:szCs w:val="24"/>
        </w:rPr>
      </w:pPr>
    </w:p>
    <w:p w14:paraId="1D739D15" w14:textId="77777777" w:rsidR="00255BD7" w:rsidRDefault="002E4EBD" w:rsidP="00BB5CFD">
      <w:pPr>
        <w:pStyle w:val="ListeParagraf"/>
        <w:spacing w:after="0" w:line="240" w:lineRule="auto"/>
        <w:ind w:left="0"/>
        <w:jc w:val="both"/>
        <w:rPr>
          <w:rFonts w:ascii="Times New Roman" w:hAnsi="Times New Roman"/>
          <w:sz w:val="24"/>
          <w:szCs w:val="24"/>
        </w:rPr>
      </w:pPr>
      <w:r>
        <w:rPr>
          <w:rFonts w:ascii="Times New Roman" w:hAnsi="Times New Roman"/>
          <w:sz w:val="24"/>
          <w:szCs w:val="24"/>
        </w:rPr>
        <w:t xml:space="preserve">Son yıllarda artan küresel belirsizlik ve olumsuzlukların gölgesinde uluslararası müteahhitlik sektörü ciddi sınamalarla </w:t>
      </w:r>
      <w:r w:rsidR="005B6F49">
        <w:rPr>
          <w:rFonts w:ascii="Times New Roman" w:hAnsi="Times New Roman"/>
          <w:sz w:val="24"/>
          <w:szCs w:val="24"/>
        </w:rPr>
        <w:t>karşı karşıya</w:t>
      </w:r>
      <w:r>
        <w:rPr>
          <w:rFonts w:ascii="Times New Roman" w:hAnsi="Times New Roman"/>
          <w:sz w:val="24"/>
          <w:szCs w:val="24"/>
        </w:rPr>
        <w:t xml:space="preserve"> kalmıştır. </w:t>
      </w:r>
      <w:r w:rsidR="00AA1F69">
        <w:rPr>
          <w:rFonts w:ascii="Times New Roman" w:hAnsi="Times New Roman"/>
          <w:sz w:val="24"/>
          <w:szCs w:val="24"/>
        </w:rPr>
        <w:t>Sektörün genel iş hacmi</w:t>
      </w:r>
      <w:r>
        <w:rPr>
          <w:rFonts w:ascii="Times New Roman" w:hAnsi="Times New Roman"/>
          <w:sz w:val="24"/>
          <w:szCs w:val="24"/>
        </w:rPr>
        <w:t xml:space="preserve"> </w:t>
      </w:r>
      <w:r w:rsidR="00AA1F69">
        <w:rPr>
          <w:rFonts w:ascii="Times New Roman" w:hAnsi="Times New Roman"/>
          <w:sz w:val="24"/>
          <w:szCs w:val="24"/>
        </w:rPr>
        <w:t>içerisinde</w:t>
      </w:r>
      <w:r>
        <w:rPr>
          <w:rFonts w:ascii="Times New Roman" w:hAnsi="Times New Roman"/>
          <w:sz w:val="24"/>
          <w:szCs w:val="24"/>
        </w:rPr>
        <w:t xml:space="preserve"> sağlanan hizmetin en büyük kısmını kamu projeleri oluşturduğundan </w:t>
      </w:r>
      <w:r w:rsidR="00842A28" w:rsidRPr="00842A28">
        <w:rPr>
          <w:rFonts w:ascii="Times New Roman" w:hAnsi="Times New Roman"/>
          <w:sz w:val="24"/>
          <w:szCs w:val="24"/>
        </w:rPr>
        <w:t>müteahhitlik şirketleri</w:t>
      </w:r>
      <w:r w:rsidR="00842A28">
        <w:rPr>
          <w:rFonts w:ascii="Times New Roman" w:hAnsi="Times New Roman"/>
          <w:sz w:val="24"/>
          <w:szCs w:val="24"/>
        </w:rPr>
        <w:t xml:space="preserve"> </w:t>
      </w:r>
      <w:r>
        <w:rPr>
          <w:rFonts w:ascii="Times New Roman" w:hAnsi="Times New Roman"/>
          <w:sz w:val="24"/>
          <w:szCs w:val="24"/>
        </w:rPr>
        <w:t>ülkeler arasında yaşanan siyasi gerginlikler ve beraberinde ge</w:t>
      </w:r>
      <w:r w:rsidR="00C84F83">
        <w:rPr>
          <w:rFonts w:ascii="Times New Roman" w:hAnsi="Times New Roman"/>
          <w:sz w:val="24"/>
          <w:szCs w:val="24"/>
        </w:rPr>
        <w:t>len</w:t>
      </w:r>
      <w:r>
        <w:rPr>
          <w:rFonts w:ascii="Times New Roman" w:hAnsi="Times New Roman"/>
          <w:sz w:val="24"/>
          <w:szCs w:val="24"/>
        </w:rPr>
        <w:t xml:space="preserve"> ekonomik bozulmadan </w:t>
      </w:r>
      <w:r w:rsidR="00842A28">
        <w:rPr>
          <w:rFonts w:ascii="Times New Roman" w:hAnsi="Times New Roman"/>
          <w:sz w:val="24"/>
          <w:szCs w:val="24"/>
        </w:rPr>
        <w:t>doğrudan etkilene</w:t>
      </w:r>
      <w:r w:rsidR="00AA5F62">
        <w:rPr>
          <w:rFonts w:ascii="Times New Roman" w:hAnsi="Times New Roman"/>
          <w:sz w:val="24"/>
          <w:szCs w:val="24"/>
        </w:rPr>
        <w:t>bilmektedir.</w:t>
      </w:r>
      <w:r w:rsidR="00AA5F62" w:rsidRPr="00AA5F62">
        <w:rPr>
          <w:rFonts w:ascii="Times New Roman" w:hAnsi="Times New Roman"/>
          <w:sz w:val="24"/>
          <w:szCs w:val="24"/>
        </w:rPr>
        <w:t xml:space="preserve"> </w:t>
      </w:r>
      <w:r w:rsidR="00691635">
        <w:rPr>
          <w:rFonts w:ascii="Times New Roman" w:hAnsi="Times New Roman"/>
          <w:sz w:val="24"/>
          <w:szCs w:val="24"/>
        </w:rPr>
        <w:t>Bu açıdan, pazar çeşitliliği</w:t>
      </w:r>
      <w:r w:rsidR="00C84F83">
        <w:rPr>
          <w:rFonts w:ascii="Times New Roman" w:hAnsi="Times New Roman"/>
          <w:sz w:val="24"/>
          <w:szCs w:val="24"/>
        </w:rPr>
        <w:t>nin</w:t>
      </w:r>
      <w:r w:rsidR="00691635">
        <w:rPr>
          <w:rFonts w:ascii="Times New Roman" w:hAnsi="Times New Roman"/>
          <w:sz w:val="24"/>
          <w:szCs w:val="24"/>
        </w:rPr>
        <w:t>, organizasyonel</w:t>
      </w:r>
      <w:r w:rsidR="00A52E43">
        <w:rPr>
          <w:rFonts w:ascii="Times New Roman" w:hAnsi="Times New Roman"/>
          <w:sz w:val="24"/>
          <w:szCs w:val="24"/>
        </w:rPr>
        <w:t>, yönetimsel ve finansal esneklik ve adaptas</w:t>
      </w:r>
      <w:r w:rsidR="00B07CE5">
        <w:rPr>
          <w:rFonts w:ascii="Times New Roman" w:hAnsi="Times New Roman"/>
          <w:sz w:val="24"/>
          <w:szCs w:val="24"/>
        </w:rPr>
        <w:t xml:space="preserve">yonun </w:t>
      </w:r>
      <w:r w:rsidR="0090259F" w:rsidRPr="0090259F">
        <w:rPr>
          <w:rFonts w:ascii="Times New Roman" w:hAnsi="Times New Roman"/>
          <w:sz w:val="24"/>
          <w:szCs w:val="24"/>
        </w:rPr>
        <w:t xml:space="preserve">sektörde </w:t>
      </w:r>
      <w:r w:rsidR="00B07CE5">
        <w:rPr>
          <w:rFonts w:ascii="Times New Roman" w:hAnsi="Times New Roman"/>
          <w:sz w:val="24"/>
          <w:szCs w:val="24"/>
        </w:rPr>
        <w:t>giderek daha ön plana çık</w:t>
      </w:r>
      <w:r w:rsidR="00C84F83">
        <w:rPr>
          <w:rFonts w:ascii="Times New Roman" w:hAnsi="Times New Roman"/>
          <w:sz w:val="24"/>
          <w:szCs w:val="24"/>
        </w:rPr>
        <w:t>tığı</w:t>
      </w:r>
      <w:r w:rsidR="00B07CE5">
        <w:rPr>
          <w:rFonts w:ascii="Times New Roman" w:hAnsi="Times New Roman"/>
          <w:sz w:val="24"/>
          <w:szCs w:val="24"/>
        </w:rPr>
        <w:t xml:space="preserve"> ve bu özelliklere sahip şirketlerin rakiplerini hızla geride bırakacağı </w:t>
      </w:r>
      <w:r w:rsidR="00C84F83">
        <w:rPr>
          <w:rFonts w:ascii="Times New Roman" w:hAnsi="Times New Roman"/>
          <w:sz w:val="24"/>
          <w:szCs w:val="24"/>
        </w:rPr>
        <w:t>görülmektedir</w:t>
      </w:r>
      <w:r w:rsidR="00B07CE5">
        <w:rPr>
          <w:rFonts w:ascii="Times New Roman" w:hAnsi="Times New Roman"/>
          <w:sz w:val="24"/>
          <w:szCs w:val="24"/>
        </w:rPr>
        <w:t>.</w:t>
      </w:r>
    </w:p>
    <w:p w14:paraId="775DE0E7" w14:textId="77777777" w:rsidR="00255BD7" w:rsidRDefault="00255BD7" w:rsidP="00BB5CFD">
      <w:pPr>
        <w:pStyle w:val="ListeParagraf"/>
        <w:spacing w:after="0" w:line="240" w:lineRule="auto"/>
        <w:ind w:left="0"/>
        <w:jc w:val="both"/>
        <w:rPr>
          <w:rFonts w:ascii="Times New Roman" w:hAnsi="Times New Roman"/>
          <w:sz w:val="24"/>
          <w:szCs w:val="24"/>
        </w:rPr>
      </w:pPr>
    </w:p>
    <w:p w14:paraId="6789F98C" w14:textId="77777777" w:rsidR="00E40888" w:rsidRPr="00255BD7" w:rsidRDefault="00AA5F62" w:rsidP="00BB5CFD">
      <w:pPr>
        <w:pStyle w:val="ListeParagraf"/>
        <w:spacing w:after="0" w:line="240" w:lineRule="auto"/>
        <w:ind w:left="0"/>
        <w:jc w:val="both"/>
        <w:rPr>
          <w:rFonts w:ascii="Times New Roman" w:hAnsi="Times New Roman"/>
          <w:sz w:val="24"/>
          <w:szCs w:val="24"/>
        </w:rPr>
      </w:pPr>
      <w:r w:rsidRPr="00AA5F62">
        <w:rPr>
          <w:rFonts w:ascii="Times New Roman" w:hAnsi="Times New Roman"/>
          <w:sz w:val="24"/>
          <w:szCs w:val="24"/>
        </w:rPr>
        <w:t>Engineering News Record (ENR) Dergisi</w:t>
      </w:r>
      <w:r w:rsidR="00F51AC1">
        <w:rPr>
          <w:rFonts w:ascii="Times New Roman" w:hAnsi="Times New Roman"/>
          <w:sz w:val="24"/>
          <w:szCs w:val="24"/>
        </w:rPr>
        <w:t>’</w:t>
      </w:r>
      <w:r>
        <w:rPr>
          <w:rFonts w:ascii="Times New Roman" w:hAnsi="Times New Roman"/>
          <w:sz w:val="24"/>
          <w:szCs w:val="24"/>
        </w:rPr>
        <w:t>nin</w:t>
      </w:r>
      <w:r w:rsidR="00034492">
        <w:rPr>
          <w:rStyle w:val="DipnotBavurusu"/>
          <w:rFonts w:ascii="Times New Roman" w:hAnsi="Times New Roman"/>
          <w:sz w:val="24"/>
          <w:szCs w:val="24"/>
        </w:rPr>
        <w:footnoteReference w:id="1"/>
      </w:r>
      <w:r>
        <w:rPr>
          <w:rFonts w:ascii="Times New Roman" w:hAnsi="Times New Roman"/>
          <w:sz w:val="24"/>
          <w:szCs w:val="24"/>
        </w:rPr>
        <w:t xml:space="preserve"> 2024 yılı sayısında</w:t>
      </w:r>
      <w:r w:rsidR="00255BD7">
        <w:rPr>
          <w:rFonts w:ascii="Times New Roman" w:hAnsi="Times New Roman"/>
          <w:sz w:val="24"/>
          <w:szCs w:val="24"/>
        </w:rPr>
        <w:t xml:space="preserve"> </w:t>
      </w:r>
      <w:r>
        <w:rPr>
          <w:rFonts w:ascii="Times New Roman" w:hAnsi="Times New Roman"/>
          <w:color w:val="000000" w:themeColor="text1"/>
          <w:sz w:val="24"/>
          <w:szCs w:val="24"/>
        </w:rPr>
        <w:t>derinleşen bölgesel gerginlikler, tedarik zincirlerindeki bozulma, genel fiyat yükselişlerinin dünya genelinde birçok proje</w:t>
      </w:r>
      <w:r w:rsidR="00255BD7">
        <w:rPr>
          <w:rFonts w:ascii="Times New Roman" w:hAnsi="Times New Roman"/>
          <w:color w:val="000000" w:themeColor="text1"/>
          <w:sz w:val="24"/>
          <w:szCs w:val="24"/>
        </w:rPr>
        <w:t>nin</w:t>
      </w:r>
      <w:r>
        <w:rPr>
          <w:rFonts w:ascii="Times New Roman" w:hAnsi="Times New Roman"/>
          <w:color w:val="000000" w:themeColor="text1"/>
          <w:sz w:val="24"/>
          <w:szCs w:val="24"/>
        </w:rPr>
        <w:t xml:space="preserve"> rafa kaldırılma tehdidi</w:t>
      </w:r>
      <w:r w:rsidR="00255BD7">
        <w:rPr>
          <w:rFonts w:ascii="Times New Roman" w:hAnsi="Times New Roman"/>
          <w:color w:val="000000" w:themeColor="text1"/>
          <w:sz w:val="24"/>
          <w:szCs w:val="24"/>
        </w:rPr>
        <w:t xml:space="preserve"> altında</w:t>
      </w:r>
      <w:r>
        <w:rPr>
          <w:rFonts w:ascii="Times New Roman" w:hAnsi="Times New Roman"/>
          <w:color w:val="000000" w:themeColor="text1"/>
          <w:sz w:val="24"/>
          <w:szCs w:val="24"/>
        </w:rPr>
        <w:t xml:space="preserve"> olduğu vurgulanmak</w:t>
      </w:r>
      <w:r w:rsidR="00342E2A">
        <w:rPr>
          <w:rFonts w:ascii="Times New Roman" w:hAnsi="Times New Roman"/>
          <w:color w:val="000000" w:themeColor="text1"/>
          <w:sz w:val="24"/>
          <w:szCs w:val="24"/>
        </w:rPr>
        <w:t xml:space="preserve">la birlikte, </w:t>
      </w:r>
      <w:r>
        <w:rPr>
          <w:rFonts w:ascii="Times New Roman" w:hAnsi="Times New Roman"/>
          <w:color w:val="000000" w:themeColor="text1"/>
          <w:sz w:val="24"/>
          <w:szCs w:val="24"/>
        </w:rPr>
        <w:t xml:space="preserve">2023 ve 2024 yıllarında </w:t>
      </w:r>
      <w:r w:rsidR="00342E2A">
        <w:rPr>
          <w:rFonts w:ascii="Times New Roman" w:hAnsi="Times New Roman"/>
          <w:color w:val="000000" w:themeColor="text1"/>
          <w:sz w:val="24"/>
          <w:szCs w:val="24"/>
        </w:rPr>
        <w:t xml:space="preserve">uluslararası müteahhitlik şirketleri ile yapılan </w:t>
      </w:r>
      <w:r>
        <w:rPr>
          <w:rFonts w:ascii="Times New Roman" w:hAnsi="Times New Roman"/>
          <w:color w:val="000000" w:themeColor="text1"/>
          <w:sz w:val="24"/>
          <w:szCs w:val="24"/>
        </w:rPr>
        <w:t>anket</w:t>
      </w:r>
      <w:r w:rsidR="00AA1F69">
        <w:rPr>
          <w:rFonts w:ascii="Times New Roman" w:hAnsi="Times New Roman"/>
          <w:color w:val="000000" w:themeColor="text1"/>
          <w:sz w:val="24"/>
          <w:szCs w:val="24"/>
        </w:rPr>
        <w:t xml:space="preserve"> sonucunda</w:t>
      </w:r>
      <w:r w:rsidR="00342E2A">
        <w:rPr>
          <w:rFonts w:ascii="Times New Roman" w:hAnsi="Times New Roman"/>
          <w:color w:val="000000" w:themeColor="text1"/>
          <w:sz w:val="24"/>
          <w:szCs w:val="24"/>
        </w:rPr>
        <w:t xml:space="preserve"> şirketlerin </w:t>
      </w:r>
      <w:r>
        <w:rPr>
          <w:rFonts w:ascii="Times New Roman" w:hAnsi="Times New Roman"/>
          <w:color w:val="000000" w:themeColor="text1"/>
          <w:sz w:val="24"/>
          <w:szCs w:val="24"/>
        </w:rPr>
        <w:t>%63’ünün gelirlerini artırdığı</w:t>
      </w:r>
      <w:r w:rsidR="000D35C4">
        <w:rPr>
          <w:rFonts w:ascii="Times New Roman" w:hAnsi="Times New Roman"/>
          <w:color w:val="000000" w:themeColor="text1"/>
          <w:sz w:val="24"/>
          <w:szCs w:val="24"/>
        </w:rPr>
        <w:t>n</w:t>
      </w:r>
      <w:r w:rsidR="00AA1F69">
        <w:rPr>
          <w:rFonts w:ascii="Times New Roman" w:hAnsi="Times New Roman"/>
          <w:color w:val="000000" w:themeColor="text1"/>
          <w:sz w:val="24"/>
          <w:szCs w:val="24"/>
        </w:rPr>
        <w:t>ın görüldüğüne</w:t>
      </w:r>
      <w:r w:rsidR="000D35C4">
        <w:rPr>
          <w:rFonts w:ascii="Times New Roman" w:hAnsi="Times New Roman"/>
          <w:color w:val="000000" w:themeColor="text1"/>
          <w:sz w:val="24"/>
          <w:szCs w:val="24"/>
        </w:rPr>
        <w:t xml:space="preserve"> </w:t>
      </w:r>
      <w:r w:rsidR="00342E2A">
        <w:rPr>
          <w:rFonts w:ascii="Times New Roman" w:hAnsi="Times New Roman"/>
          <w:color w:val="000000" w:themeColor="text1"/>
          <w:sz w:val="24"/>
          <w:szCs w:val="24"/>
        </w:rPr>
        <w:t>dikkat çekilmektedir</w:t>
      </w:r>
      <w:r>
        <w:rPr>
          <w:rFonts w:ascii="Times New Roman" w:hAnsi="Times New Roman"/>
          <w:color w:val="000000" w:themeColor="text1"/>
          <w:sz w:val="24"/>
          <w:szCs w:val="24"/>
        </w:rPr>
        <w:t xml:space="preserve">. </w:t>
      </w:r>
      <w:r w:rsidR="00342E2A">
        <w:rPr>
          <w:rFonts w:ascii="Times New Roman" w:hAnsi="Times New Roman"/>
          <w:color w:val="000000" w:themeColor="text1"/>
          <w:sz w:val="24"/>
          <w:szCs w:val="24"/>
        </w:rPr>
        <w:t>Diğer taraftan</w:t>
      </w:r>
      <w:r>
        <w:rPr>
          <w:rFonts w:ascii="Times New Roman" w:hAnsi="Times New Roman"/>
          <w:color w:val="000000" w:themeColor="text1"/>
          <w:sz w:val="24"/>
          <w:szCs w:val="24"/>
        </w:rPr>
        <w:t xml:space="preserve">, </w:t>
      </w:r>
      <w:r w:rsidR="00EA31D3">
        <w:rPr>
          <w:rFonts w:ascii="Times New Roman" w:hAnsi="Times New Roman"/>
          <w:color w:val="000000" w:themeColor="text1"/>
          <w:sz w:val="24"/>
          <w:szCs w:val="24"/>
        </w:rPr>
        <w:t xml:space="preserve">söz konusu dergide </w:t>
      </w:r>
      <w:r w:rsidR="00342E2A">
        <w:rPr>
          <w:rFonts w:ascii="Times New Roman" w:hAnsi="Times New Roman"/>
          <w:color w:val="000000" w:themeColor="text1"/>
          <w:sz w:val="24"/>
          <w:szCs w:val="24"/>
        </w:rPr>
        <w:t xml:space="preserve">sektörde </w:t>
      </w:r>
      <w:r>
        <w:rPr>
          <w:rFonts w:ascii="Times New Roman" w:hAnsi="Times New Roman"/>
          <w:color w:val="000000" w:themeColor="text1"/>
          <w:sz w:val="24"/>
          <w:szCs w:val="24"/>
        </w:rPr>
        <w:t>kar kaybı yaşanma</w:t>
      </w:r>
      <w:r w:rsidR="000D35C4">
        <w:rPr>
          <w:rFonts w:ascii="Times New Roman" w:hAnsi="Times New Roman"/>
          <w:color w:val="000000" w:themeColor="text1"/>
          <w:sz w:val="24"/>
          <w:szCs w:val="24"/>
        </w:rPr>
        <w:t xml:space="preserve">sına rağmen </w:t>
      </w:r>
      <w:r>
        <w:rPr>
          <w:rFonts w:ascii="Times New Roman" w:hAnsi="Times New Roman"/>
          <w:color w:val="000000" w:themeColor="text1"/>
          <w:sz w:val="24"/>
          <w:szCs w:val="24"/>
        </w:rPr>
        <w:t xml:space="preserve">karlılığın </w:t>
      </w:r>
      <w:r w:rsidR="00AA1F69">
        <w:rPr>
          <w:rFonts w:ascii="Times New Roman" w:hAnsi="Times New Roman"/>
          <w:color w:val="000000" w:themeColor="text1"/>
          <w:sz w:val="24"/>
          <w:szCs w:val="24"/>
        </w:rPr>
        <w:t xml:space="preserve">hala </w:t>
      </w:r>
      <w:r>
        <w:rPr>
          <w:rFonts w:ascii="Times New Roman" w:hAnsi="Times New Roman"/>
          <w:color w:val="000000" w:themeColor="text1"/>
          <w:sz w:val="24"/>
          <w:szCs w:val="24"/>
        </w:rPr>
        <w:t>sürdüğü belirtilmektedir.</w:t>
      </w:r>
    </w:p>
    <w:p w14:paraId="333764F9" w14:textId="77777777" w:rsidR="00AA5F62" w:rsidRDefault="00AA5F62" w:rsidP="00BB5CFD">
      <w:pPr>
        <w:pStyle w:val="ListeParagraf"/>
        <w:spacing w:after="0" w:line="240" w:lineRule="auto"/>
        <w:ind w:left="0"/>
        <w:jc w:val="both"/>
        <w:rPr>
          <w:rFonts w:ascii="Times New Roman" w:hAnsi="Times New Roman"/>
          <w:sz w:val="24"/>
          <w:szCs w:val="24"/>
        </w:rPr>
      </w:pPr>
    </w:p>
    <w:p w14:paraId="6F297A9F" w14:textId="77777777" w:rsidR="00FD57E7"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ENR’a</w:t>
      </w:r>
      <w:r w:rsidR="00D40677">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göre dünya genelindeki en büyük 250 müteahhitlik firmasının toplam uluslararası müteahhitlik gelirleri 2002 yılında 116,5 mily</w:t>
      </w:r>
      <w:r w:rsidR="00D40677" w:rsidRPr="00AA1F69">
        <w:rPr>
          <w:rFonts w:ascii="Times New Roman" w:hAnsi="Times New Roman" w:cs="Times New Roman"/>
          <w:color w:val="000000" w:themeColor="text1"/>
          <w:sz w:val="24"/>
          <w:szCs w:val="24"/>
        </w:rPr>
        <w:t>ar dolar seviy</w:t>
      </w:r>
      <w:r w:rsidR="00966FF8" w:rsidRPr="00AA1F69">
        <w:rPr>
          <w:rFonts w:ascii="Times New Roman" w:hAnsi="Times New Roman" w:cs="Times New Roman"/>
          <w:color w:val="000000" w:themeColor="text1"/>
          <w:sz w:val="24"/>
          <w:szCs w:val="24"/>
        </w:rPr>
        <w:t xml:space="preserve">esinde iken; </w:t>
      </w:r>
      <w:r w:rsidR="00E40888" w:rsidRPr="00AA1F69">
        <w:rPr>
          <w:rFonts w:ascii="Times New Roman" w:hAnsi="Times New Roman" w:cs="Times New Roman"/>
          <w:color w:val="000000" w:themeColor="text1"/>
          <w:sz w:val="24"/>
          <w:szCs w:val="24"/>
        </w:rPr>
        <w:t>derginin 202</w:t>
      </w:r>
      <w:r w:rsidR="00066904" w:rsidRPr="00AA1F69">
        <w:rPr>
          <w:rFonts w:ascii="Times New Roman" w:hAnsi="Times New Roman" w:cs="Times New Roman"/>
          <w:color w:val="000000" w:themeColor="text1"/>
          <w:sz w:val="24"/>
          <w:szCs w:val="24"/>
        </w:rPr>
        <w:t>4</w:t>
      </w:r>
      <w:r w:rsidR="00D40677" w:rsidRPr="00AA1F69">
        <w:rPr>
          <w:rFonts w:ascii="Times New Roman" w:hAnsi="Times New Roman" w:cs="Times New Roman"/>
          <w:color w:val="000000" w:themeColor="text1"/>
          <w:sz w:val="24"/>
          <w:szCs w:val="24"/>
        </w:rPr>
        <w:t xml:space="preserve"> yılı</w:t>
      </w:r>
      <w:r w:rsidR="00F643CE" w:rsidRPr="00AA1F69">
        <w:rPr>
          <w:rFonts w:ascii="Times New Roman" w:hAnsi="Times New Roman" w:cs="Times New Roman"/>
          <w:color w:val="000000" w:themeColor="text1"/>
          <w:sz w:val="24"/>
          <w:szCs w:val="24"/>
        </w:rPr>
        <w:t xml:space="preserve"> </w:t>
      </w:r>
      <w:r w:rsidR="00D40677" w:rsidRPr="00AA1F69">
        <w:rPr>
          <w:rFonts w:ascii="Times New Roman" w:hAnsi="Times New Roman" w:cs="Times New Roman"/>
          <w:color w:val="000000" w:themeColor="text1"/>
          <w:sz w:val="24"/>
          <w:szCs w:val="24"/>
        </w:rPr>
        <w:t xml:space="preserve">sayısında </w:t>
      </w:r>
      <w:r w:rsidR="00066904" w:rsidRPr="00AA1F69">
        <w:rPr>
          <w:rFonts w:ascii="Times New Roman" w:hAnsi="Times New Roman" w:cs="Times New Roman"/>
          <w:color w:val="000000" w:themeColor="text1"/>
          <w:sz w:val="24"/>
          <w:szCs w:val="24"/>
        </w:rPr>
        <w:t>499,7</w:t>
      </w:r>
      <w:r w:rsidR="00FD57E7" w:rsidRPr="00AA1F69">
        <w:rPr>
          <w:rFonts w:ascii="Times New Roman" w:hAnsi="Times New Roman" w:cs="Times New Roman"/>
          <w:color w:val="000000" w:themeColor="text1"/>
          <w:sz w:val="24"/>
          <w:szCs w:val="24"/>
        </w:rPr>
        <w:t xml:space="preserve"> milyar dolar </w:t>
      </w:r>
      <w:r w:rsidR="00F643CE" w:rsidRPr="00AA1F69">
        <w:rPr>
          <w:rFonts w:ascii="Times New Roman" w:hAnsi="Times New Roman" w:cs="Times New Roman"/>
          <w:color w:val="000000" w:themeColor="text1"/>
          <w:sz w:val="24"/>
          <w:szCs w:val="24"/>
        </w:rPr>
        <w:t xml:space="preserve">olarak </w:t>
      </w:r>
      <w:r w:rsidR="00B92BCC" w:rsidRPr="00AA1F69">
        <w:rPr>
          <w:rFonts w:ascii="Times New Roman" w:hAnsi="Times New Roman" w:cs="Times New Roman"/>
          <w:color w:val="000000" w:themeColor="text1"/>
          <w:sz w:val="24"/>
          <w:szCs w:val="24"/>
        </w:rPr>
        <w:t>gerçekleşmiştir</w:t>
      </w:r>
      <w:r w:rsidR="00FD57E7" w:rsidRPr="00AA1F69">
        <w:rPr>
          <w:rFonts w:ascii="Times New Roman" w:hAnsi="Times New Roman" w:cs="Times New Roman"/>
          <w:color w:val="000000" w:themeColor="text1"/>
          <w:sz w:val="24"/>
          <w:szCs w:val="24"/>
        </w:rPr>
        <w:t xml:space="preserve">. En büyük 250 firmanın gelirlerinde </w:t>
      </w:r>
      <w:r w:rsidR="00D40677" w:rsidRPr="00AA1F69">
        <w:rPr>
          <w:rFonts w:ascii="Times New Roman" w:hAnsi="Times New Roman" w:cs="Times New Roman"/>
          <w:color w:val="000000" w:themeColor="text1"/>
          <w:sz w:val="24"/>
          <w:szCs w:val="24"/>
        </w:rPr>
        <w:t xml:space="preserve">derginin </w:t>
      </w:r>
      <w:r w:rsidR="00E40888" w:rsidRPr="00AA1F69">
        <w:rPr>
          <w:rFonts w:ascii="Times New Roman" w:hAnsi="Times New Roman" w:cs="Times New Roman"/>
          <w:color w:val="000000" w:themeColor="text1"/>
          <w:sz w:val="24"/>
          <w:szCs w:val="24"/>
        </w:rPr>
        <w:t>202</w:t>
      </w:r>
      <w:r w:rsidR="00171015" w:rsidRPr="00AA1F69">
        <w:rPr>
          <w:rFonts w:ascii="Times New Roman" w:hAnsi="Times New Roman" w:cs="Times New Roman"/>
          <w:color w:val="000000" w:themeColor="text1"/>
          <w:sz w:val="24"/>
          <w:szCs w:val="24"/>
        </w:rPr>
        <w:t>3</w:t>
      </w:r>
      <w:r w:rsidR="00D40677" w:rsidRPr="00AA1F69">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 xml:space="preserve">yılı </w:t>
      </w:r>
      <w:r w:rsidR="00D40677" w:rsidRPr="00AA1F69">
        <w:rPr>
          <w:rFonts w:ascii="Times New Roman" w:hAnsi="Times New Roman" w:cs="Times New Roman"/>
          <w:color w:val="000000" w:themeColor="text1"/>
          <w:sz w:val="24"/>
          <w:szCs w:val="24"/>
        </w:rPr>
        <w:t xml:space="preserve">sayısı </w:t>
      </w:r>
      <w:r w:rsidR="00FD57E7" w:rsidRPr="00AA1F69">
        <w:rPr>
          <w:rFonts w:ascii="Times New Roman" w:hAnsi="Times New Roman" w:cs="Times New Roman"/>
          <w:color w:val="000000" w:themeColor="text1"/>
          <w:sz w:val="24"/>
          <w:szCs w:val="24"/>
        </w:rPr>
        <w:t>ile karşılaştırıldığında %</w:t>
      </w:r>
      <w:r w:rsidR="00066904" w:rsidRPr="00AA1F69">
        <w:rPr>
          <w:rFonts w:ascii="Times New Roman" w:hAnsi="Times New Roman" w:cs="Times New Roman"/>
          <w:color w:val="000000" w:themeColor="text1"/>
          <w:sz w:val="24"/>
          <w:szCs w:val="24"/>
        </w:rPr>
        <w:t>16</w:t>
      </w:r>
      <w:r w:rsidR="00FD57E7" w:rsidRPr="00AA1F69">
        <w:rPr>
          <w:rFonts w:ascii="Times New Roman" w:hAnsi="Times New Roman" w:cs="Times New Roman"/>
          <w:color w:val="000000" w:themeColor="text1"/>
          <w:sz w:val="24"/>
          <w:szCs w:val="24"/>
        </w:rPr>
        <w:t xml:space="preserve"> </w:t>
      </w:r>
      <w:r w:rsidR="0079258D" w:rsidRPr="00AA1F69">
        <w:rPr>
          <w:rFonts w:ascii="Times New Roman" w:hAnsi="Times New Roman" w:cs="Times New Roman"/>
          <w:color w:val="000000" w:themeColor="text1"/>
          <w:sz w:val="24"/>
          <w:szCs w:val="24"/>
        </w:rPr>
        <w:t>artış</w:t>
      </w:r>
      <w:r w:rsidR="00FD57E7" w:rsidRPr="00AA1F69">
        <w:rPr>
          <w:rFonts w:ascii="Times New Roman" w:hAnsi="Times New Roman" w:cs="Times New Roman"/>
          <w:color w:val="000000" w:themeColor="text1"/>
          <w:sz w:val="24"/>
          <w:szCs w:val="24"/>
        </w:rPr>
        <w:t xml:space="preserve"> kaydedilmiştir. </w:t>
      </w:r>
      <w:r w:rsidR="00D40677" w:rsidRPr="00AA1F69">
        <w:rPr>
          <w:rFonts w:ascii="Times New Roman" w:hAnsi="Times New Roman" w:cs="Times New Roman"/>
          <w:color w:val="000000" w:themeColor="text1"/>
          <w:sz w:val="24"/>
          <w:szCs w:val="24"/>
        </w:rPr>
        <w:t xml:space="preserve">Derginin </w:t>
      </w:r>
      <w:r w:rsidR="003076DB" w:rsidRPr="00AA1F69">
        <w:rPr>
          <w:rFonts w:ascii="Times New Roman" w:hAnsi="Times New Roman" w:cs="Times New Roman"/>
          <w:color w:val="000000" w:themeColor="text1"/>
          <w:sz w:val="24"/>
          <w:szCs w:val="24"/>
        </w:rPr>
        <w:t>202</w:t>
      </w:r>
      <w:r w:rsidR="00066904" w:rsidRPr="00AA1F69">
        <w:rPr>
          <w:rFonts w:ascii="Times New Roman" w:hAnsi="Times New Roman" w:cs="Times New Roman"/>
          <w:color w:val="000000" w:themeColor="text1"/>
          <w:sz w:val="24"/>
          <w:szCs w:val="24"/>
        </w:rPr>
        <w:t>4</w:t>
      </w:r>
      <w:r w:rsidR="00D40677" w:rsidRPr="00AA1F69">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yılı</w:t>
      </w:r>
      <w:r w:rsidR="00D40677" w:rsidRPr="00AA1F69">
        <w:rPr>
          <w:rFonts w:ascii="Times New Roman" w:hAnsi="Times New Roman" w:cs="Times New Roman"/>
          <w:color w:val="000000" w:themeColor="text1"/>
          <w:sz w:val="24"/>
          <w:szCs w:val="24"/>
        </w:rPr>
        <w:t xml:space="preserve"> sayısında</w:t>
      </w:r>
      <w:r w:rsidR="00FD57E7" w:rsidRPr="00AA1F69">
        <w:rPr>
          <w:rFonts w:ascii="Times New Roman" w:hAnsi="Times New Roman" w:cs="Times New Roman"/>
          <w:color w:val="000000" w:themeColor="text1"/>
          <w:sz w:val="24"/>
          <w:szCs w:val="24"/>
        </w:rPr>
        <w:t xml:space="preserve"> bahsekonu gelirlerin sektörel dağılımına bakıldığında; %</w:t>
      </w:r>
      <w:r w:rsidR="000D55D1" w:rsidRPr="00AA1F69">
        <w:rPr>
          <w:rFonts w:ascii="Times New Roman" w:hAnsi="Times New Roman" w:cs="Times New Roman"/>
          <w:color w:val="000000" w:themeColor="text1"/>
          <w:sz w:val="24"/>
          <w:szCs w:val="24"/>
        </w:rPr>
        <w:t>3</w:t>
      </w:r>
      <w:r w:rsidR="00066904" w:rsidRPr="00AA1F69">
        <w:rPr>
          <w:rFonts w:ascii="Times New Roman" w:hAnsi="Times New Roman" w:cs="Times New Roman"/>
          <w:color w:val="000000" w:themeColor="text1"/>
          <w:sz w:val="24"/>
          <w:szCs w:val="24"/>
        </w:rPr>
        <w:t>0,9</w:t>
      </w:r>
      <w:r w:rsidR="00FD57E7" w:rsidRPr="00AA1F69">
        <w:rPr>
          <w:rFonts w:ascii="Times New Roman" w:hAnsi="Times New Roman" w:cs="Times New Roman"/>
          <w:color w:val="000000" w:themeColor="text1"/>
          <w:sz w:val="24"/>
          <w:szCs w:val="24"/>
        </w:rPr>
        <w:t>’</w:t>
      </w:r>
      <w:r w:rsidR="0079258D" w:rsidRPr="00AA1F69">
        <w:rPr>
          <w:rFonts w:ascii="Times New Roman" w:hAnsi="Times New Roman" w:cs="Times New Roman"/>
          <w:color w:val="000000" w:themeColor="text1"/>
          <w:sz w:val="24"/>
          <w:szCs w:val="24"/>
        </w:rPr>
        <w:t>ünün</w:t>
      </w:r>
      <w:r w:rsidR="008C111D"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ulaştırma (1</w:t>
      </w:r>
      <w:r w:rsidR="00066904">
        <w:rPr>
          <w:rFonts w:ascii="Times New Roman" w:hAnsi="Times New Roman" w:cs="Times New Roman"/>
          <w:color w:val="000000" w:themeColor="text1"/>
          <w:sz w:val="24"/>
          <w:szCs w:val="24"/>
        </w:rPr>
        <w:t>54,5</w:t>
      </w:r>
      <w:r w:rsidR="00FD57E7" w:rsidRPr="00C74DD2">
        <w:rPr>
          <w:rFonts w:ascii="Times New Roman" w:hAnsi="Times New Roman" w:cs="Times New Roman"/>
          <w:color w:val="000000" w:themeColor="text1"/>
          <w:sz w:val="24"/>
          <w:szCs w:val="24"/>
        </w:rPr>
        <w:t xml:space="preserve"> milyar dolar),</w:t>
      </w:r>
      <w:r w:rsidR="000D55D1" w:rsidRPr="00C74DD2">
        <w:rPr>
          <w:rFonts w:ascii="Times New Roman" w:hAnsi="Times New Roman" w:cs="Times New Roman"/>
          <w:color w:val="000000" w:themeColor="text1"/>
          <w:sz w:val="24"/>
          <w:szCs w:val="24"/>
        </w:rPr>
        <w:t xml:space="preserve"> %</w:t>
      </w:r>
      <w:r w:rsidR="00066904">
        <w:rPr>
          <w:rFonts w:ascii="Times New Roman" w:hAnsi="Times New Roman" w:cs="Times New Roman"/>
          <w:color w:val="000000" w:themeColor="text1"/>
          <w:sz w:val="24"/>
          <w:szCs w:val="24"/>
        </w:rPr>
        <w:t>19,4</w:t>
      </w:r>
      <w:r w:rsidR="000D55D1" w:rsidRPr="002673A0">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ünü</w:t>
      </w:r>
      <w:r w:rsidR="00066904">
        <w:rPr>
          <w:rFonts w:ascii="Times New Roman" w:hAnsi="Times New Roman" w:cs="Times New Roman"/>
          <w:color w:val="000000" w:themeColor="text1"/>
          <w:sz w:val="24"/>
          <w:szCs w:val="24"/>
        </w:rPr>
        <w:t>n</w:t>
      </w:r>
      <w:r w:rsidR="0079258D">
        <w:rPr>
          <w:rFonts w:ascii="Times New Roman" w:hAnsi="Times New Roman" w:cs="Times New Roman"/>
          <w:color w:val="000000" w:themeColor="text1"/>
          <w:sz w:val="24"/>
          <w:szCs w:val="24"/>
        </w:rPr>
        <w:t xml:space="preserve"> </w:t>
      </w:r>
      <w:r w:rsidR="00262BBD" w:rsidRPr="002673A0">
        <w:rPr>
          <w:rFonts w:ascii="Times New Roman" w:hAnsi="Times New Roman" w:cs="Times New Roman"/>
          <w:color w:val="000000" w:themeColor="text1"/>
          <w:sz w:val="24"/>
          <w:szCs w:val="24"/>
        </w:rPr>
        <w:t>bina inşası (</w:t>
      </w:r>
      <w:r w:rsidR="0079258D">
        <w:rPr>
          <w:rFonts w:ascii="Times New Roman" w:hAnsi="Times New Roman" w:cs="Times New Roman"/>
          <w:color w:val="000000" w:themeColor="text1"/>
          <w:sz w:val="24"/>
          <w:szCs w:val="24"/>
        </w:rPr>
        <w:t>9</w:t>
      </w:r>
      <w:r w:rsidR="00066904">
        <w:rPr>
          <w:rFonts w:ascii="Times New Roman" w:hAnsi="Times New Roman" w:cs="Times New Roman"/>
          <w:color w:val="000000" w:themeColor="text1"/>
          <w:sz w:val="24"/>
          <w:szCs w:val="24"/>
        </w:rPr>
        <w:t>6,9</w:t>
      </w:r>
      <w:r w:rsidR="000D55D1" w:rsidRPr="002673A0">
        <w:rPr>
          <w:rFonts w:ascii="Times New Roman" w:hAnsi="Times New Roman" w:cs="Times New Roman"/>
          <w:color w:val="000000" w:themeColor="text1"/>
          <w:sz w:val="24"/>
          <w:szCs w:val="24"/>
        </w:rPr>
        <w:t xml:space="preserve"> milyar dolar</w:t>
      </w:r>
      <w:r w:rsidR="002673A0" w:rsidRPr="002673A0">
        <w:rPr>
          <w:rFonts w:ascii="Times New Roman" w:hAnsi="Times New Roman" w:cs="Times New Roman"/>
          <w:color w:val="000000" w:themeColor="text1"/>
          <w:sz w:val="24"/>
          <w:szCs w:val="24"/>
        </w:rPr>
        <w:t>), %</w:t>
      </w:r>
      <w:r w:rsidR="003076DB" w:rsidRPr="002673A0">
        <w:rPr>
          <w:rFonts w:ascii="Times New Roman" w:hAnsi="Times New Roman" w:cs="Times New Roman"/>
          <w:color w:val="000000" w:themeColor="text1"/>
          <w:sz w:val="24"/>
          <w:szCs w:val="24"/>
        </w:rPr>
        <w:t>1</w:t>
      </w:r>
      <w:r w:rsidR="00066904">
        <w:rPr>
          <w:rFonts w:ascii="Times New Roman" w:hAnsi="Times New Roman" w:cs="Times New Roman"/>
          <w:color w:val="000000" w:themeColor="text1"/>
          <w:sz w:val="24"/>
          <w:szCs w:val="24"/>
        </w:rPr>
        <w:t>6,2</w:t>
      </w:r>
      <w:r w:rsidR="00FD57E7" w:rsidRPr="002673A0">
        <w:rPr>
          <w:rFonts w:ascii="Times New Roman" w:hAnsi="Times New Roman" w:cs="Times New Roman"/>
          <w:color w:val="000000" w:themeColor="text1"/>
          <w:sz w:val="24"/>
          <w:szCs w:val="24"/>
        </w:rPr>
        <w:t>’</w:t>
      </w:r>
      <w:r w:rsidR="00A31DCC" w:rsidRPr="002673A0">
        <w:rPr>
          <w:rFonts w:ascii="Times New Roman" w:hAnsi="Times New Roman" w:cs="Times New Roman"/>
          <w:color w:val="000000" w:themeColor="text1"/>
          <w:sz w:val="24"/>
          <w:szCs w:val="24"/>
        </w:rPr>
        <w:t>ünün</w:t>
      </w:r>
      <w:r w:rsidR="00FD57E7" w:rsidRPr="002673A0">
        <w:rPr>
          <w:rFonts w:ascii="Times New Roman" w:hAnsi="Times New Roman" w:cs="Times New Roman"/>
          <w:color w:val="000000" w:themeColor="text1"/>
          <w:sz w:val="24"/>
          <w:szCs w:val="24"/>
        </w:rPr>
        <w:t xml:space="preserve"> petrol tesisi (</w:t>
      </w:r>
      <w:r w:rsidR="00066904">
        <w:rPr>
          <w:rFonts w:ascii="Times New Roman" w:hAnsi="Times New Roman" w:cs="Times New Roman"/>
          <w:color w:val="000000" w:themeColor="text1"/>
          <w:sz w:val="24"/>
          <w:szCs w:val="24"/>
        </w:rPr>
        <w:t>81</w:t>
      </w:r>
      <w:r w:rsidR="003076DB" w:rsidRPr="002673A0">
        <w:rPr>
          <w:rFonts w:ascii="Times New Roman" w:hAnsi="Times New Roman" w:cs="Times New Roman"/>
          <w:color w:val="000000" w:themeColor="text1"/>
          <w:sz w:val="24"/>
          <w:szCs w:val="24"/>
        </w:rPr>
        <w:t xml:space="preserve"> milyar dolar)</w:t>
      </w:r>
      <w:r w:rsidR="00FD57E7" w:rsidRPr="002673A0">
        <w:rPr>
          <w:rFonts w:ascii="Times New Roman" w:hAnsi="Times New Roman" w:cs="Times New Roman"/>
          <w:color w:val="000000" w:themeColor="text1"/>
          <w:sz w:val="24"/>
          <w:szCs w:val="24"/>
        </w:rPr>
        <w:t xml:space="preserve"> </w:t>
      </w:r>
      <w:r w:rsidR="008C111D" w:rsidRPr="002673A0">
        <w:rPr>
          <w:rFonts w:ascii="Times New Roman" w:hAnsi="Times New Roman" w:cs="Times New Roman"/>
          <w:color w:val="000000" w:themeColor="text1"/>
          <w:sz w:val="24"/>
          <w:szCs w:val="24"/>
        </w:rPr>
        <w:t>ve</w:t>
      </w:r>
      <w:r w:rsidR="00FD57E7" w:rsidRPr="002673A0">
        <w:rPr>
          <w:rFonts w:ascii="Times New Roman" w:hAnsi="Times New Roman" w:cs="Times New Roman"/>
          <w:color w:val="000000" w:themeColor="text1"/>
          <w:sz w:val="24"/>
          <w:szCs w:val="24"/>
        </w:rPr>
        <w:t xml:space="preserve"> %</w:t>
      </w:r>
      <w:r w:rsidR="00E40888" w:rsidRPr="002673A0">
        <w:rPr>
          <w:rFonts w:ascii="Times New Roman" w:hAnsi="Times New Roman" w:cs="Times New Roman"/>
          <w:color w:val="000000" w:themeColor="text1"/>
          <w:sz w:val="24"/>
          <w:szCs w:val="24"/>
        </w:rPr>
        <w:t>1</w:t>
      </w:r>
      <w:r w:rsidR="0079258D">
        <w:rPr>
          <w:rFonts w:ascii="Times New Roman" w:hAnsi="Times New Roman" w:cs="Times New Roman"/>
          <w:color w:val="000000" w:themeColor="text1"/>
          <w:sz w:val="24"/>
          <w:szCs w:val="24"/>
        </w:rPr>
        <w:t>0,</w:t>
      </w:r>
      <w:r w:rsidR="00066904">
        <w:rPr>
          <w:rFonts w:ascii="Times New Roman" w:hAnsi="Times New Roman" w:cs="Times New Roman"/>
          <w:color w:val="000000" w:themeColor="text1"/>
          <w:sz w:val="24"/>
          <w:szCs w:val="24"/>
        </w:rPr>
        <w:t>4</w:t>
      </w:r>
      <w:r w:rsidR="0079258D">
        <w:rPr>
          <w:rFonts w:ascii="Times New Roman" w:hAnsi="Times New Roman" w:cs="Times New Roman"/>
          <w:color w:val="000000" w:themeColor="text1"/>
          <w:sz w:val="24"/>
          <w:szCs w:val="24"/>
        </w:rPr>
        <w:t xml:space="preserve">’inin </w:t>
      </w:r>
      <w:r w:rsidR="00E40888" w:rsidRPr="002673A0">
        <w:rPr>
          <w:rFonts w:ascii="Times New Roman" w:hAnsi="Times New Roman" w:cs="Times New Roman"/>
          <w:color w:val="000000" w:themeColor="text1"/>
          <w:sz w:val="24"/>
          <w:szCs w:val="24"/>
        </w:rPr>
        <w:t xml:space="preserve">enerji </w:t>
      </w:r>
      <w:r w:rsidR="00FD57E7" w:rsidRPr="002673A0">
        <w:rPr>
          <w:rFonts w:ascii="Times New Roman" w:hAnsi="Times New Roman" w:cs="Times New Roman"/>
          <w:color w:val="000000" w:themeColor="text1"/>
          <w:sz w:val="24"/>
          <w:szCs w:val="24"/>
        </w:rPr>
        <w:t>(</w:t>
      </w:r>
      <w:r w:rsidR="00066904">
        <w:rPr>
          <w:rFonts w:ascii="Times New Roman" w:hAnsi="Times New Roman" w:cs="Times New Roman"/>
          <w:color w:val="000000" w:themeColor="text1"/>
          <w:sz w:val="24"/>
          <w:szCs w:val="24"/>
        </w:rPr>
        <w:t>51,9</w:t>
      </w:r>
      <w:r w:rsidR="00FD57E7" w:rsidRPr="002673A0">
        <w:rPr>
          <w:rFonts w:ascii="Times New Roman" w:hAnsi="Times New Roman" w:cs="Times New Roman"/>
          <w:color w:val="000000" w:themeColor="text1"/>
          <w:sz w:val="24"/>
          <w:szCs w:val="24"/>
        </w:rPr>
        <w:t xml:space="preserve"> milyar dolar) projelerinden elde edildiği görülmektedir.</w:t>
      </w:r>
    </w:p>
    <w:p w14:paraId="2552219F" w14:textId="77777777" w:rsidR="0095473D" w:rsidRPr="002673A0"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p>
    <w:p w14:paraId="5AE08DFA" w14:textId="77777777" w:rsidR="00FD57E7"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ENR</w:t>
      </w:r>
      <w:r w:rsidR="003747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verilerine göre, </w:t>
      </w:r>
      <w:r w:rsidR="00066904">
        <w:rPr>
          <w:rFonts w:ascii="Times New Roman" w:hAnsi="Times New Roman" w:cs="Times New Roman"/>
          <w:color w:val="000000" w:themeColor="text1"/>
          <w:sz w:val="24"/>
          <w:szCs w:val="24"/>
        </w:rPr>
        <w:t>499,7</w:t>
      </w:r>
      <w:r w:rsidR="00E40888">
        <w:rPr>
          <w:rFonts w:ascii="Times New Roman" w:hAnsi="Times New Roman" w:cs="Times New Roman"/>
          <w:color w:val="000000" w:themeColor="text1"/>
          <w:sz w:val="24"/>
          <w:szCs w:val="24"/>
        </w:rPr>
        <w:t xml:space="preserve"> </w:t>
      </w:r>
      <w:r w:rsidR="00FD57E7" w:rsidRPr="00813D2F">
        <w:rPr>
          <w:rFonts w:ascii="Times New Roman" w:hAnsi="Times New Roman" w:cs="Times New Roman"/>
          <w:color w:val="000000" w:themeColor="text1"/>
          <w:sz w:val="24"/>
          <w:szCs w:val="24"/>
        </w:rPr>
        <w:t xml:space="preserve">milyar dolarlık gelirin bölgesel dağılımına bakıldığında; </w:t>
      </w:r>
      <w:r w:rsidR="0079258D" w:rsidRPr="0079258D">
        <w:rPr>
          <w:rFonts w:ascii="Times New Roman" w:hAnsi="Times New Roman"/>
          <w:color w:val="000000" w:themeColor="text1"/>
          <w:sz w:val="24"/>
          <w:szCs w:val="24"/>
        </w:rPr>
        <w:t xml:space="preserve">uluslararası inşaat firmalarının </w:t>
      </w:r>
      <w:r w:rsidR="00066904" w:rsidRPr="00066904">
        <w:rPr>
          <w:rFonts w:ascii="Times New Roman" w:hAnsi="Times New Roman"/>
          <w:color w:val="000000" w:themeColor="text1"/>
          <w:sz w:val="24"/>
          <w:szCs w:val="24"/>
        </w:rPr>
        <w:t>Avrupa pazarından 130,7 milyar dolar, Asya pazarından 89,6 milyar dolar, ABD pazarından 71,5 milyar dolar, Ortadoğu pazarından 64,2 milyar dolar, Afrika pazarından ise 52,3 milyar dolar gelir elde ettikleri bildirilmektedir.</w:t>
      </w:r>
      <w:r w:rsidR="00066904">
        <w:rPr>
          <w:rFonts w:ascii="Times New Roman" w:hAnsi="Times New Roman"/>
          <w:color w:val="000000" w:themeColor="text1"/>
          <w:sz w:val="24"/>
          <w:szCs w:val="24"/>
        </w:rPr>
        <w:t xml:space="preserve"> </w:t>
      </w:r>
      <w:r w:rsidR="00D40677">
        <w:rPr>
          <w:rFonts w:ascii="Times New Roman" w:hAnsi="Times New Roman" w:cs="Times New Roman"/>
          <w:color w:val="000000" w:themeColor="text1"/>
          <w:sz w:val="24"/>
          <w:szCs w:val="24"/>
        </w:rPr>
        <w:t xml:space="preserve">Derginin </w:t>
      </w:r>
      <w:r w:rsidR="00FD57E7" w:rsidRPr="00813D2F">
        <w:rPr>
          <w:rFonts w:ascii="Times New Roman" w:hAnsi="Times New Roman" w:cs="Times New Roman"/>
          <w:color w:val="000000" w:themeColor="text1"/>
          <w:sz w:val="24"/>
          <w:szCs w:val="24"/>
        </w:rPr>
        <w:t>20</w:t>
      </w:r>
      <w:r w:rsidR="00E40888">
        <w:rPr>
          <w:rFonts w:ascii="Times New Roman" w:hAnsi="Times New Roman" w:cs="Times New Roman"/>
          <w:color w:val="000000" w:themeColor="text1"/>
          <w:sz w:val="24"/>
          <w:szCs w:val="24"/>
        </w:rPr>
        <w:t>2</w:t>
      </w:r>
      <w:r w:rsidR="00066904">
        <w:rPr>
          <w:rFonts w:ascii="Times New Roman" w:hAnsi="Times New Roman" w:cs="Times New Roman"/>
          <w:color w:val="000000" w:themeColor="text1"/>
          <w:sz w:val="24"/>
          <w:szCs w:val="24"/>
        </w:rPr>
        <w:t>4</w:t>
      </w:r>
      <w:r w:rsidR="00D40677">
        <w:rPr>
          <w:rFonts w:ascii="Times New Roman" w:hAnsi="Times New Roman" w:cs="Times New Roman"/>
          <w:color w:val="000000" w:themeColor="text1"/>
          <w:sz w:val="24"/>
          <w:szCs w:val="24"/>
        </w:rPr>
        <w:t xml:space="preserve"> yılı sayısında, </w:t>
      </w:r>
      <w:r w:rsidR="00450361" w:rsidRPr="00813D2F">
        <w:rPr>
          <w:rFonts w:ascii="Times New Roman" w:hAnsi="Times New Roman" w:cs="Times New Roman"/>
          <w:color w:val="000000" w:themeColor="text1"/>
          <w:sz w:val="24"/>
          <w:szCs w:val="24"/>
        </w:rPr>
        <w:t>müteahhitlik firmalarının iç piyasa</w:t>
      </w:r>
      <w:r w:rsidR="00F643CE" w:rsidRPr="00813D2F">
        <w:rPr>
          <w:rFonts w:ascii="Times New Roman" w:hAnsi="Times New Roman" w:cs="Times New Roman"/>
          <w:color w:val="000000" w:themeColor="text1"/>
          <w:sz w:val="24"/>
          <w:szCs w:val="24"/>
        </w:rPr>
        <w:t>da</w:t>
      </w:r>
      <w:r w:rsidR="00450361" w:rsidRPr="00813D2F">
        <w:rPr>
          <w:rFonts w:ascii="Times New Roman" w:hAnsi="Times New Roman" w:cs="Times New Roman"/>
          <w:color w:val="000000" w:themeColor="text1"/>
          <w:sz w:val="24"/>
          <w:szCs w:val="24"/>
        </w:rPr>
        <w:t xml:space="preserve"> el</w:t>
      </w:r>
      <w:r w:rsidR="003B21CF" w:rsidRPr="00813D2F">
        <w:rPr>
          <w:rFonts w:ascii="Times New Roman" w:hAnsi="Times New Roman" w:cs="Times New Roman"/>
          <w:color w:val="000000" w:themeColor="text1"/>
          <w:sz w:val="24"/>
          <w:szCs w:val="24"/>
        </w:rPr>
        <w:t>de</w:t>
      </w:r>
      <w:r w:rsidR="00450361" w:rsidRPr="00813D2F">
        <w:rPr>
          <w:rFonts w:ascii="Times New Roman" w:hAnsi="Times New Roman" w:cs="Times New Roman"/>
          <w:color w:val="000000" w:themeColor="text1"/>
          <w:sz w:val="24"/>
          <w:szCs w:val="24"/>
        </w:rPr>
        <w:t xml:space="preserve"> ett</w:t>
      </w:r>
      <w:r w:rsidR="00F643CE" w:rsidRPr="00813D2F">
        <w:rPr>
          <w:rFonts w:ascii="Times New Roman" w:hAnsi="Times New Roman" w:cs="Times New Roman"/>
          <w:color w:val="000000" w:themeColor="text1"/>
          <w:sz w:val="24"/>
          <w:szCs w:val="24"/>
        </w:rPr>
        <w:t>ikleri 1</w:t>
      </w:r>
      <w:r w:rsidR="0079258D">
        <w:rPr>
          <w:rFonts w:ascii="Times New Roman" w:hAnsi="Times New Roman" w:cs="Times New Roman"/>
          <w:color w:val="000000" w:themeColor="text1"/>
          <w:sz w:val="24"/>
          <w:szCs w:val="24"/>
        </w:rPr>
        <w:t>,</w:t>
      </w:r>
      <w:r w:rsidR="002673A0">
        <w:rPr>
          <w:rFonts w:ascii="Times New Roman" w:hAnsi="Times New Roman" w:cs="Times New Roman"/>
          <w:color w:val="000000" w:themeColor="text1"/>
          <w:sz w:val="24"/>
          <w:szCs w:val="24"/>
        </w:rPr>
        <w:t>7</w:t>
      </w:r>
      <w:r w:rsidR="009F08D1">
        <w:rPr>
          <w:rFonts w:ascii="Times New Roman" w:hAnsi="Times New Roman" w:cs="Times New Roman"/>
          <w:color w:val="000000" w:themeColor="text1"/>
          <w:sz w:val="24"/>
          <w:szCs w:val="24"/>
        </w:rPr>
        <w:t>49</w:t>
      </w:r>
      <w:r w:rsidR="00F643CE" w:rsidRPr="00813D2F">
        <w:rPr>
          <w:rFonts w:ascii="Times New Roman" w:hAnsi="Times New Roman" w:cs="Times New Roman"/>
          <w:color w:val="000000" w:themeColor="text1"/>
          <w:sz w:val="24"/>
          <w:szCs w:val="24"/>
        </w:rPr>
        <w:t xml:space="preserve"> trilyon dolarlık gelir </w:t>
      </w:r>
      <w:r w:rsidR="00450361" w:rsidRPr="00813D2F">
        <w:rPr>
          <w:rFonts w:ascii="Times New Roman" w:hAnsi="Times New Roman" w:cs="Times New Roman"/>
          <w:color w:val="000000" w:themeColor="text1"/>
          <w:sz w:val="24"/>
          <w:szCs w:val="24"/>
        </w:rPr>
        <w:t xml:space="preserve">de </w:t>
      </w:r>
      <w:r w:rsidR="006050C9" w:rsidRPr="00813D2F">
        <w:rPr>
          <w:rFonts w:ascii="Times New Roman" w:hAnsi="Times New Roman" w:cs="Times New Roman"/>
          <w:color w:val="000000" w:themeColor="text1"/>
          <w:sz w:val="24"/>
          <w:szCs w:val="24"/>
        </w:rPr>
        <w:t>dikkate</w:t>
      </w:r>
      <w:r w:rsidR="00F643CE" w:rsidRPr="00813D2F">
        <w:rPr>
          <w:rFonts w:ascii="Times New Roman" w:hAnsi="Times New Roman" w:cs="Times New Roman"/>
          <w:color w:val="000000" w:themeColor="text1"/>
          <w:sz w:val="24"/>
          <w:szCs w:val="24"/>
        </w:rPr>
        <w:t xml:space="preserve"> alındığında, </w:t>
      </w:r>
      <w:r w:rsidR="00450361" w:rsidRPr="00813D2F">
        <w:rPr>
          <w:rFonts w:ascii="Times New Roman" w:hAnsi="Times New Roman" w:cs="Times New Roman"/>
          <w:color w:val="000000" w:themeColor="text1"/>
          <w:sz w:val="24"/>
          <w:szCs w:val="24"/>
        </w:rPr>
        <w:t>dünya müteahhitlik pazarında</w:t>
      </w:r>
      <w:r w:rsidR="00F643CE" w:rsidRPr="00813D2F">
        <w:rPr>
          <w:rFonts w:ascii="Times New Roman" w:hAnsi="Times New Roman" w:cs="Times New Roman"/>
          <w:color w:val="000000" w:themeColor="text1"/>
          <w:sz w:val="24"/>
          <w:szCs w:val="24"/>
        </w:rPr>
        <w:t xml:space="preserve">n ENR 250 Listesinde </w:t>
      </w:r>
      <w:r w:rsidR="003B21CF" w:rsidRPr="00813D2F">
        <w:rPr>
          <w:rFonts w:ascii="Times New Roman" w:hAnsi="Times New Roman" w:cs="Times New Roman"/>
          <w:color w:val="000000" w:themeColor="text1"/>
          <w:sz w:val="24"/>
          <w:szCs w:val="24"/>
        </w:rPr>
        <w:t>yer alan firmaların</w:t>
      </w:r>
      <w:r w:rsidR="00FD57E7" w:rsidRPr="00813D2F">
        <w:rPr>
          <w:rFonts w:ascii="Times New Roman" w:hAnsi="Times New Roman" w:cs="Times New Roman"/>
          <w:color w:val="000000" w:themeColor="text1"/>
          <w:sz w:val="24"/>
          <w:szCs w:val="24"/>
        </w:rPr>
        <w:t xml:space="preserve"> yerel ve uluslararası gelirlerin</w:t>
      </w:r>
      <w:r w:rsidR="00F643CE" w:rsidRPr="00813D2F">
        <w:rPr>
          <w:rFonts w:ascii="Times New Roman" w:hAnsi="Times New Roman" w:cs="Times New Roman"/>
          <w:color w:val="000000" w:themeColor="text1"/>
          <w:sz w:val="24"/>
          <w:szCs w:val="24"/>
        </w:rPr>
        <w:t>in</w:t>
      </w:r>
      <w:r w:rsidR="00FD57E7" w:rsidRPr="00813D2F">
        <w:rPr>
          <w:rFonts w:ascii="Times New Roman" w:hAnsi="Times New Roman" w:cs="Times New Roman"/>
          <w:color w:val="000000" w:themeColor="text1"/>
          <w:sz w:val="24"/>
          <w:szCs w:val="24"/>
        </w:rPr>
        <w:t xml:space="preserve"> </w:t>
      </w:r>
      <w:r w:rsidR="003B21CF" w:rsidRPr="00813D2F">
        <w:rPr>
          <w:rFonts w:ascii="Times New Roman" w:hAnsi="Times New Roman" w:cs="Times New Roman"/>
          <w:color w:val="000000" w:themeColor="text1"/>
          <w:sz w:val="24"/>
          <w:szCs w:val="24"/>
        </w:rPr>
        <w:t xml:space="preserve">toplamının </w:t>
      </w:r>
      <w:r w:rsidR="002673A0">
        <w:rPr>
          <w:rFonts w:ascii="Times New Roman" w:hAnsi="Times New Roman" w:cs="Times New Roman"/>
          <w:color w:val="000000" w:themeColor="text1"/>
          <w:sz w:val="24"/>
          <w:szCs w:val="24"/>
        </w:rPr>
        <w:t>2</w:t>
      </w:r>
      <w:r w:rsidR="003076DB">
        <w:rPr>
          <w:rFonts w:ascii="Times New Roman" w:hAnsi="Times New Roman" w:cs="Times New Roman"/>
          <w:color w:val="000000" w:themeColor="text1"/>
          <w:sz w:val="24"/>
          <w:szCs w:val="24"/>
        </w:rPr>
        <w:t>,</w:t>
      </w:r>
      <w:r w:rsidR="009F08D1">
        <w:rPr>
          <w:rFonts w:ascii="Times New Roman" w:hAnsi="Times New Roman" w:cs="Times New Roman"/>
          <w:color w:val="000000" w:themeColor="text1"/>
          <w:sz w:val="24"/>
          <w:szCs w:val="24"/>
        </w:rPr>
        <w:t>249</w:t>
      </w:r>
      <w:r w:rsidR="00FD57E7" w:rsidRPr="00813D2F">
        <w:rPr>
          <w:rFonts w:ascii="Times New Roman" w:hAnsi="Times New Roman" w:cs="Times New Roman"/>
          <w:color w:val="000000" w:themeColor="text1"/>
          <w:sz w:val="24"/>
          <w:szCs w:val="24"/>
        </w:rPr>
        <w:t xml:space="preserve"> trilyon </w:t>
      </w:r>
      <w:r w:rsidR="00F643CE" w:rsidRPr="00813D2F">
        <w:rPr>
          <w:rFonts w:ascii="Times New Roman" w:hAnsi="Times New Roman" w:cs="Times New Roman"/>
          <w:color w:val="000000" w:themeColor="text1"/>
          <w:sz w:val="24"/>
          <w:szCs w:val="24"/>
        </w:rPr>
        <w:t xml:space="preserve">dolar </w:t>
      </w:r>
      <w:r w:rsidR="00FD57E7" w:rsidRPr="00813D2F">
        <w:rPr>
          <w:rFonts w:ascii="Times New Roman" w:hAnsi="Times New Roman" w:cs="Times New Roman"/>
          <w:color w:val="000000" w:themeColor="text1"/>
          <w:sz w:val="24"/>
          <w:szCs w:val="24"/>
        </w:rPr>
        <w:t>seviye</w:t>
      </w:r>
      <w:r w:rsidR="00D94318" w:rsidRPr="00813D2F">
        <w:rPr>
          <w:rFonts w:ascii="Times New Roman" w:hAnsi="Times New Roman" w:cs="Times New Roman"/>
          <w:color w:val="000000" w:themeColor="text1"/>
          <w:sz w:val="24"/>
          <w:szCs w:val="24"/>
        </w:rPr>
        <w:t>sinde</w:t>
      </w:r>
      <w:r w:rsidR="002673A0">
        <w:rPr>
          <w:rFonts w:ascii="Times New Roman" w:hAnsi="Times New Roman" w:cs="Times New Roman"/>
          <w:color w:val="000000" w:themeColor="text1"/>
          <w:sz w:val="24"/>
          <w:szCs w:val="24"/>
        </w:rPr>
        <w:t>dir.</w:t>
      </w:r>
    </w:p>
    <w:p w14:paraId="73B39904" w14:textId="77777777" w:rsidR="0037474D" w:rsidRPr="002673A0" w:rsidRDefault="0037474D" w:rsidP="00BB5CFD">
      <w:pPr>
        <w:pStyle w:val="ListeParagraf"/>
        <w:spacing w:after="0" w:line="240" w:lineRule="auto"/>
        <w:ind w:left="0"/>
        <w:jc w:val="both"/>
        <w:rPr>
          <w:rFonts w:ascii="Times New Roman" w:hAnsi="Times New Roman"/>
          <w:color w:val="000000" w:themeColor="text1"/>
          <w:sz w:val="24"/>
          <w:szCs w:val="24"/>
        </w:rPr>
      </w:pPr>
    </w:p>
    <w:p w14:paraId="4C022F8E" w14:textId="77777777" w:rsidR="005742AB" w:rsidRDefault="0072515E"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w:t>
      </w:r>
      <w:r w:rsidR="00465D02">
        <w:rPr>
          <w:rFonts w:ascii="Times New Roman" w:hAnsi="Times New Roman" w:cs="Times New Roman"/>
          <w:sz w:val="24"/>
          <w:szCs w:val="24"/>
        </w:rPr>
        <w:t>l</w:t>
      </w:r>
      <w:r>
        <w:rPr>
          <w:rFonts w:ascii="Times New Roman" w:hAnsi="Times New Roman" w:cs="Times New Roman"/>
          <w:sz w:val="24"/>
          <w:szCs w:val="24"/>
        </w:rPr>
        <w:t>an</w:t>
      </w:r>
      <w:r w:rsidR="00465D02">
        <w:rPr>
          <w:rFonts w:ascii="Times New Roman" w:hAnsi="Times New Roman" w:cs="Times New Roman"/>
          <w:sz w:val="24"/>
          <w:szCs w:val="24"/>
        </w:rPr>
        <w:t>an</w:t>
      </w:r>
      <w:r>
        <w:rPr>
          <w:rFonts w:ascii="Times New Roman" w:hAnsi="Times New Roman" w:cs="Times New Roman"/>
          <w:sz w:val="24"/>
          <w:szCs w:val="24"/>
        </w:rPr>
        <w:t xml:space="preserve"> “mega” ve “giga” projelerin devreye alınmasıyla</w:t>
      </w:r>
      <w:r w:rsidR="005742AB" w:rsidRPr="005742AB">
        <w:rPr>
          <w:rFonts w:ascii="Times New Roman" w:hAnsi="Times New Roman" w:cs="Times New Roman"/>
          <w:sz w:val="24"/>
          <w:szCs w:val="24"/>
        </w:rPr>
        <w:t>, firmaların ülkeleri dışında üstlendikleri işleri gösteren uluslararası müteahhitlik hizmetleri büyüklüğünün, bu</w:t>
      </w:r>
      <w:r w:rsidR="00212B02">
        <w:rPr>
          <w:rFonts w:ascii="Times New Roman" w:hAnsi="Times New Roman" w:cs="Times New Roman"/>
          <w:sz w:val="24"/>
          <w:szCs w:val="24"/>
        </w:rPr>
        <w:t xml:space="preserve">günlerdeki </w:t>
      </w:r>
      <w:r w:rsidR="00D7144B">
        <w:rPr>
          <w:rFonts w:ascii="Times New Roman" w:hAnsi="Times New Roman" w:cs="Times New Roman"/>
          <w:sz w:val="24"/>
          <w:szCs w:val="24"/>
        </w:rPr>
        <w:t>5</w:t>
      </w:r>
      <w:r w:rsidR="00E40888">
        <w:rPr>
          <w:rFonts w:ascii="Times New Roman" w:hAnsi="Times New Roman" w:cs="Times New Roman"/>
          <w:sz w:val="24"/>
          <w:szCs w:val="24"/>
        </w:rPr>
        <w:t>00 milyar dolar</w:t>
      </w:r>
      <w:r w:rsidR="009A01AC">
        <w:rPr>
          <w:rFonts w:ascii="Times New Roman" w:hAnsi="Times New Roman" w:cs="Times New Roman"/>
          <w:sz w:val="24"/>
          <w:szCs w:val="24"/>
        </w:rPr>
        <w:t xml:space="preserve"> seviyesinden</w:t>
      </w:r>
      <w:r w:rsidR="00E40888">
        <w:rPr>
          <w:rFonts w:ascii="Times New Roman" w:hAnsi="Times New Roman" w:cs="Times New Roman"/>
          <w:sz w:val="24"/>
          <w:szCs w:val="24"/>
        </w:rPr>
        <w:t xml:space="preserve"> </w:t>
      </w:r>
      <w:r>
        <w:rPr>
          <w:rFonts w:ascii="Times New Roman" w:hAnsi="Times New Roman" w:cs="Times New Roman"/>
          <w:sz w:val="24"/>
          <w:szCs w:val="24"/>
        </w:rPr>
        <w:t>1,25</w:t>
      </w:r>
      <w:r w:rsidR="005742AB" w:rsidRPr="005742AB">
        <w:rPr>
          <w:rFonts w:ascii="Times New Roman" w:hAnsi="Times New Roman" w:cs="Times New Roman"/>
          <w:sz w:val="24"/>
          <w:szCs w:val="24"/>
        </w:rPr>
        <w:t xml:space="preserve"> </w:t>
      </w:r>
      <w:r>
        <w:rPr>
          <w:rFonts w:ascii="Times New Roman" w:hAnsi="Times New Roman" w:cs="Times New Roman"/>
          <w:sz w:val="24"/>
          <w:szCs w:val="24"/>
        </w:rPr>
        <w:t>trilyon</w:t>
      </w:r>
      <w:r w:rsidR="005742AB" w:rsidRPr="005742AB">
        <w:rPr>
          <w:rFonts w:ascii="Times New Roman" w:hAnsi="Times New Roman" w:cs="Times New Roman"/>
          <w:sz w:val="24"/>
          <w:szCs w:val="24"/>
        </w:rPr>
        <w:t xml:space="preserve"> dolara çıkması öngörülmektedir.</w:t>
      </w:r>
    </w:p>
    <w:p w14:paraId="0AE7333B" w14:textId="77777777" w:rsidR="0037474D" w:rsidRPr="008C111D" w:rsidRDefault="0037474D" w:rsidP="00BB5CFD">
      <w:pPr>
        <w:spacing w:after="0" w:line="240" w:lineRule="auto"/>
        <w:jc w:val="both"/>
        <w:rPr>
          <w:rFonts w:ascii="Times New Roman" w:hAnsi="Times New Roman" w:cs="Times New Roman"/>
          <w:sz w:val="24"/>
          <w:szCs w:val="24"/>
        </w:rPr>
      </w:pPr>
    </w:p>
    <w:p w14:paraId="62A50D56" w14:textId="114F7EDF" w:rsidR="00FD57E7" w:rsidRPr="00781EED" w:rsidRDefault="00E140DE" w:rsidP="00BB5CF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Ülkemiz müteahhitlik şirketleri küresel pazarda</w:t>
      </w:r>
      <w:r w:rsidR="00C41455">
        <w:rPr>
          <w:rFonts w:ascii="Times New Roman" w:hAnsi="Times New Roman" w:cs="Times New Roman"/>
          <w:sz w:val="24"/>
          <w:szCs w:val="24"/>
        </w:rPr>
        <w:t xml:space="preserve"> </w:t>
      </w:r>
      <w:r>
        <w:rPr>
          <w:rFonts w:ascii="Times New Roman" w:hAnsi="Times New Roman" w:cs="Times New Roman"/>
          <w:sz w:val="24"/>
          <w:szCs w:val="24"/>
        </w:rPr>
        <w:t xml:space="preserve">kalıcı olarak </w:t>
      </w:r>
      <w:r w:rsidR="007317DB">
        <w:rPr>
          <w:rFonts w:ascii="Times New Roman" w:hAnsi="Times New Roman" w:cs="Times New Roman"/>
          <w:sz w:val="24"/>
          <w:szCs w:val="24"/>
        </w:rPr>
        <w:t>önemli bir yer edinmiştir. Uzun yıllardır ülkemiz yıllık uluslararası müteahhitlik gelirlerinden en çok pay alan ilk on ülke arasında yer almaktadır. Y</w:t>
      </w:r>
      <w:r w:rsidR="00C41455">
        <w:rPr>
          <w:rFonts w:ascii="Times New Roman" w:hAnsi="Times New Roman" w:cs="Times New Roman"/>
          <w:sz w:val="24"/>
          <w:szCs w:val="24"/>
        </w:rPr>
        <w:t>urt</w:t>
      </w:r>
      <w:r w:rsidR="006F0CB6">
        <w:rPr>
          <w:rFonts w:ascii="Times New Roman" w:hAnsi="Times New Roman" w:cs="Times New Roman"/>
          <w:sz w:val="24"/>
          <w:szCs w:val="24"/>
        </w:rPr>
        <w:t xml:space="preserve"> </w:t>
      </w:r>
      <w:r w:rsidR="00FD57E7" w:rsidRPr="00FD57E7">
        <w:rPr>
          <w:rFonts w:ascii="Times New Roman" w:hAnsi="Times New Roman" w:cs="Times New Roman"/>
          <w:sz w:val="24"/>
          <w:szCs w:val="24"/>
        </w:rPr>
        <w:t xml:space="preserve">dışı müteahhitlik hizmetleri sektörümüz, ülkemizin yetişmiş insan gücü, teknik birikimi ve teknolojiye adaptasyonu, iş deneyimi ve disiplini, coğrafi konumu, bölge ülkeleri ile siyasi ve kültürel yakınlığı gibi avantajlarının kullanılması ve kamu kuruluşları ile özel sektör arasındaki koordinasyon, </w:t>
      </w:r>
      <w:r w:rsidR="008E5AB9" w:rsidRPr="00FD57E7">
        <w:rPr>
          <w:rFonts w:ascii="Times New Roman" w:hAnsi="Times New Roman" w:cs="Times New Roman"/>
          <w:sz w:val="24"/>
          <w:szCs w:val="24"/>
        </w:rPr>
        <w:t>iş birliği</w:t>
      </w:r>
      <w:r w:rsidR="00FD57E7" w:rsidRPr="00FD57E7">
        <w:rPr>
          <w:rFonts w:ascii="Times New Roman" w:hAnsi="Times New Roman" w:cs="Times New Roman"/>
          <w:sz w:val="24"/>
          <w:szCs w:val="24"/>
        </w:rPr>
        <w:t xml:space="preserve"> ve ortak hareket etme bilincinin sağlam bir şekilde yerleştirilmesi sayesinde </w:t>
      </w:r>
      <w:r w:rsidR="00D57774">
        <w:rPr>
          <w:rFonts w:ascii="Times New Roman" w:hAnsi="Times New Roman" w:cs="Times New Roman"/>
          <w:b/>
          <w:sz w:val="24"/>
          <w:szCs w:val="24"/>
        </w:rPr>
        <w:t xml:space="preserve">1972’den </w:t>
      </w:r>
      <w:r w:rsidR="001D6B5B">
        <w:rPr>
          <w:rFonts w:ascii="Times New Roman" w:hAnsi="Times New Roman" w:cs="Times New Roman"/>
          <w:b/>
          <w:sz w:val="24"/>
          <w:szCs w:val="24"/>
        </w:rPr>
        <w:t>günümüze</w:t>
      </w:r>
      <w:r w:rsidR="00FD57E7" w:rsidRPr="00B22B5A">
        <w:rPr>
          <w:rFonts w:ascii="Times New Roman" w:hAnsi="Times New Roman" w:cs="Times New Roman"/>
          <w:b/>
          <w:sz w:val="24"/>
          <w:szCs w:val="24"/>
        </w:rPr>
        <w:t xml:space="preserve"> kadar 1</w:t>
      </w:r>
      <w:r w:rsidR="002D4777">
        <w:rPr>
          <w:rFonts w:ascii="Times New Roman" w:hAnsi="Times New Roman" w:cs="Times New Roman"/>
          <w:b/>
          <w:sz w:val="24"/>
          <w:szCs w:val="24"/>
        </w:rPr>
        <w:t>3</w:t>
      </w:r>
      <w:r w:rsidR="00FD5D95">
        <w:rPr>
          <w:rFonts w:ascii="Times New Roman" w:hAnsi="Times New Roman" w:cs="Times New Roman"/>
          <w:b/>
          <w:sz w:val="24"/>
          <w:szCs w:val="24"/>
        </w:rPr>
        <w:t>7</w:t>
      </w:r>
      <w:r w:rsidR="00405E4E">
        <w:rPr>
          <w:rFonts w:ascii="Times New Roman" w:hAnsi="Times New Roman" w:cs="Times New Roman"/>
          <w:b/>
          <w:sz w:val="24"/>
          <w:szCs w:val="24"/>
        </w:rPr>
        <w:t xml:space="preserve"> ülkede </w:t>
      </w:r>
      <w:r w:rsidR="004D421F">
        <w:rPr>
          <w:rFonts w:ascii="Times New Roman" w:hAnsi="Times New Roman" w:cs="Times New Roman"/>
          <w:b/>
          <w:sz w:val="24"/>
          <w:szCs w:val="24"/>
        </w:rPr>
        <w:t>53</w:t>
      </w:r>
      <w:r w:rsidR="008E5AB9">
        <w:rPr>
          <w:rFonts w:ascii="Times New Roman" w:hAnsi="Times New Roman" w:cs="Times New Roman"/>
          <w:b/>
          <w:sz w:val="24"/>
          <w:szCs w:val="24"/>
        </w:rPr>
        <w:t>9</w:t>
      </w:r>
      <w:r w:rsidR="009709E1">
        <w:rPr>
          <w:rFonts w:ascii="Times New Roman" w:hAnsi="Times New Roman" w:cs="Times New Roman"/>
          <w:b/>
          <w:sz w:val="24"/>
          <w:szCs w:val="24"/>
        </w:rPr>
        <w:t>,</w:t>
      </w:r>
      <w:r w:rsidR="008E5AB9">
        <w:rPr>
          <w:rFonts w:ascii="Times New Roman" w:hAnsi="Times New Roman" w:cs="Times New Roman"/>
          <w:b/>
          <w:sz w:val="24"/>
          <w:szCs w:val="24"/>
        </w:rPr>
        <w:t>9</w:t>
      </w:r>
      <w:r w:rsidR="004A5207">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 xml:space="preserve">milyar dolar değerinde </w:t>
      </w:r>
      <w:r w:rsidR="00BE7319">
        <w:rPr>
          <w:rFonts w:ascii="Times New Roman" w:hAnsi="Times New Roman" w:cs="Times New Roman"/>
          <w:b/>
          <w:sz w:val="24"/>
          <w:szCs w:val="24"/>
        </w:rPr>
        <w:t>12.</w:t>
      </w:r>
      <w:r w:rsidR="002D05DF">
        <w:rPr>
          <w:rFonts w:ascii="Times New Roman" w:hAnsi="Times New Roman" w:cs="Times New Roman"/>
          <w:b/>
          <w:sz w:val="24"/>
          <w:szCs w:val="24"/>
        </w:rPr>
        <w:t>5</w:t>
      </w:r>
      <w:r w:rsidR="008E5AB9">
        <w:rPr>
          <w:rFonts w:ascii="Times New Roman" w:hAnsi="Times New Roman" w:cs="Times New Roman"/>
          <w:b/>
          <w:sz w:val="24"/>
          <w:szCs w:val="24"/>
        </w:rPr>
        <w:t>8</w:t>
      </w:r>
      <w:r w:rsidR="002D05DF">
        <w:rPr>
          <w:rFonts w:ascii="Times New Roman" w:hAnsi="Times New Roman" w:cs="Times New Roman"/>
          <w:b/>
          <w:sz w:val="24"/>
          <w:szCs w:val="24"/>
        </w:rPr>
        <w:t>5</w:t>
      </w:r>
      <w:r w:rsidR="00BE7319">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proje üstlenmiştir</w:t>
      </w:r>
      <w:bookmarkEnd w:id="4"/>
      <w:bookmarkEnd w:id="5"/>
      <w:bookmarkEnd w:id="6"/>
      <w:bookmarkEnd w:id="7"/>
      <w:r w:rsidR="00AE5512">
        <w:rPr>
          <w:rFonts w:ascii="Times New Roman" w:hAnsi="Times New Roman" w:cs="Times New Roman"/>
          <w:sz w:val="24"/>
          <w:szCs w:val="24"/>
        </w:rPr>
        <w:t>.</w:t>
      </w:r>
    </w:p>
    <w:p w14:paraId="70FD9134" w14:textId="77777777" w:rsidR="00FD57E7" w:rsidRPr="00FD57E7" w:rsidRDefault="00FD57E7" w:rsidP="00BB5CFD">
      <w:pPr>
        <w:spacing w:after="0" w:line="240" w:lineRule="auto"/>
        <w:jc w:val="center"/>
        <w:rPr>
          <w:rFonts w:ascii="Times New Roman" w:hAnsi="Times New Roman" w:cs="Times New Roman"/>
          <w:sz w:val="24"/>
          <w:szCs w:val="24"/>
        </w:rPr>
      </w:pPr>
      <w:r w:rsidRPr="00FD57E7">
        <w:rPr>
          <w:rFonts w:ascii="Times New Roman" w:hAnsi="Times New Roman" w:cs="Times New Roman"/>
          <w:noProof/>
          <w:sz w:val="24"/>
          <w:szCs w:val="24"/>
          <w:lang w:eastAsia="tr-TR"/>
        </w:rPr>
        <w:lastRenderedPageBreak/>
        <w:drawing>
          <wp:inline distT="0" distB="0" distL="0" distR="0" wp14:anchorId="628B800D" wp14:editId="22F488CE">
            <wp:extent cx="5719636" cy="3152775"/>
            <wp:effectExtent l="0" t="0" r="14605" b="9525"/>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B8667C" w14:textId="77777777" w:rsidR="0098552D" w:rsidRPr="0098552D" w:rsidRDefault="0098552D" w:rsidP="00BB5CFD">
      <w:pPr>
        <w:spacing w:after="0" w:line="240" w:lineRule="auto"/>
        <w:ind w:firstLine="567"/>
        <w:jc w:val="both"/>
        <w:rPr>
          <w:rFonts w:ascii="Times New Roman" w:hAnsi="Times New Roman" w:cs="Times New Roman"/>
          <w:sz w:val="20"/>
          <w:szCs w:val="24"/>
        </w:rPr>
      </w:pPr>
    </w:p>
    <w:p w14:paraId="1F4080C9" w14:textId="77777777" w:rsidR="00BB5CFD" w:rsidRDefault="00BB5CFD" w:rsidP="00BB5CFD">
      <w:pPr>
        <w:spacing w:after="0" w:line="240" w:lineRule="auto"/>
        <w:jc w:val="both"/>
        <w:rPr>
          <w:rFonts w:ascii="Times New Roman" w:hAnsi="Times New Roman" w:cs="Times New Roman"/>
          <w:sz w:val="24"/>
          <w:szCs w:val="24"/>
        </w:rPr>
      </w:pPr>
    </w:p>
    <w:p w14:paraId="08995B6A" w14:textId="4E65214B" w:rsidR="00FD57E7"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2005 yılında toplam üstlenilen proje bedelinde ilk defa 10 milyar dolar</w:t>
      </w:r>
      <w:r w:rsidR="00B0625C">
        <w:rPr>
          <w:rFonts w:ascii="Times New Roman" w:hAnsi="Times New Roman" w:cs="Times New Roman"/>
          <w:sz w:val="24"/>
          <w:szCs w:val="24"/>
        </w:rPr>
        <w:t>ı</w:t>
      </w:r>
      <w:r w:rsidRPr="00FD57E7">
        <w:rPr>
          <w:rFonts w:ascii="Times New Roman" w:hAnsi="Times New Roman" w:cs="Times New Roman"/>
          <w:sz w:val="24"/>
          <w:szCs w:val="24"/>
        </w:rPr>
        <w:t xml:space="preserve"> aşa</w:t>
      </w:r>
      <w:r w:rsidR="00BC05BA">
        <w:rPr>
          <w:rFonts w:ascii="Times New Roman" w:hAnsi="Times New Roman" w:cs="Times New Roman"/>
          <w:sz w:val="24"/>
          <w:szCs w:val="24"/>
        </w:rPr>
        <w:t>n Türk müteahhitlik sektörü 2006-2016</w:t>
      </w:r>
      <w:r w:rsidRPr="00FD57E7">
        <w:rPr>
          <w:rFonts w:ascii="Times New Roman" w:hAnsi="Times New Roman" w:cs="Times New Roman"/>
          <w:sz w:val="24"/>
          <w:szCs w:val="24"/>
        </w:rPr>
        <w:t xml:space="preserve"> yıl</w:t>
      </w:r>
      <w:r w:rsidR="00BC05BA">
        <w:rPr>
          <w:rFonts w:ascii="Times New Roman" w:hAnsi="Times New Roman" w:cs="Times New Roman"/>
          <w:sz w:val="24"/>
          <w:szCs w:val="24"/>
        </w:rPr>
        <w:t xml:space="preserve">ları arasında </w:t>
      </w:r>
      <w:r w:rsidRPr="00FD57E7">
        <w:rPr>
          <w:rFonts w:ascii="Times New Roman" w:hAnsi="Times New Roman" w:cs="Times New Roman"/>
          <w:sz w:val="24"/>
          <w:szCs w:val="24"/>
        </w:rPr>
        <w:t>20 milyar doların üzerinde bir performans sergilem</w:t>
      </w:r>
      <w:r w:rsidR="00713539">
        <w:rPr>
          <w:rFonts w:ascii="Times New Roman" w:hAnsi="Times New Roman" w:cs="Times New Roman"/>
          <w:sz w:val="24"/>
          <w:szCs w:val="24"/>
        </w:rPr>
        <w:t>iştir</w:t>
      </w:r>
      <w:r w:rsidRPr="00FD57E7">
        <w:rPr>
          <w:rFonts w:ascii="Times New Roman" w:hAnsi="Times New Roman" w:cs="Times New Roman"/>
          <w:sz w:val="24"/>
          <w:szCs w:val="24"/>
        </w:rPr>
        <w:t xml:space="preserve">. </w:t>
      </w:r>
      <w:r w:rsidR="00CC041E">
        <w:rPr>
          <w:rFonts w:ascii="Times New Roman" w:hAnsi="Times New Roman" w:cs="Times New Roman"/>
          <w:sz w:val="24"/>
          <w:szCs w:val="24"/>
        </w:rPr>
        <w:t xml:space="preserve">2012, </w:t>
      </w:r>
      <w:r w:rsidR="00F40862">
        <w:rPr>
          <w:rFonts w:ascii="Times New Roman" w:hAnsi="Times New Roman" w:cs="Times New Roman"/>
          <w:sz w:val="24"/>
          <w:szCs w:val="24"/>
        </w:rPr>
        <w:t>201</w:t>
      </w:r>
      <w:r w:rsidR="00ED0931">
        <w:rPr>
          <w:rFonts w:ascii="Times New Roman" w:hAnsi="Times New Roman" w:cs="Times New Roman"/>
          <w:sz w:val="24"/>
          <w:szCs w:val="24"/>
        </w:rPr>
        <w:t>3</w:t>
      </w:r>
      <w:r w:rsidR="00EC5AD6">
        <w:rPr>
          <w:rFonts w:ascii="Times New Roman" w:hAnsi="Times New Roman" w:cs="Times New Roman"/>
          <w:sz w:val="24"/>
          <w:szCs w:val="24"/>
        </w:rPr>
        <w:t xml:space="preserve">, </w:t>
      </w:r>
      <w:r w:rsidR="00CC041E">
        <w:rPr>
          <w:rFonts w:ascii="Times New Roman" w:hAnsi="Times New Roman" w:cs="Times New Roman"/>
          <w:sz w:val="24"/>
          <w:szCs w:val="24"/>
        </w:rPr>
        <w:t>2021</w:t>
      </w:r>
      <w:r w:rsidR="00EC5AD6">
        <w:rPr>
          <w:rFonts w:ascii="Times New Roman" w:hAnsi="Times New Roman" w:cs="Times New Roman"/>
          <w:sz w:val="24"/>
          <w:szCs w:val="24"/>
        </w:rPr>
        <w:t xml:space="preserve"> ve 2024</w:t>
      </w:r>
      <w:r w:rsidR="00CC041E">
        <w:rPr>
          <w:rFonts w:ascii="Times New Roman" w:hAnsi="Times New Roman" w:cs="Times New Roman"/>
          <w:sz w:val="24"/>
          <w:szCs w:val="24"/>
        </w:rPr>
        <w:t xml:space="preserve"> </w:t>
      </w:r>
      <w:r w:rsidR="008B2716">
        <w:rPr>
          <w:rFonts w:ascii="Times New Roman" w:hAnsi="Times New Roman" w:cs="Times New Roman"/>
          <w:sz w:val="24"/>
          <w:szCs w:val="24"/>
        </w:rPr>
        <w:t xml:space="preserve">yıllarında </w:t>
      </w:r>
      <w:r w:rsidRPr="00FD57E7">
        <w:rPr>
          <w:rFonts w:ascii="Times New Roman" w:hAnsi="Times New Roman" w:cs="Times New Roman"/>
          <w:sz w:val="24"/>
          <w:szCs w:val="24"/>
        </w:rPr>
        <w:t>üstlenilen</w:t>
      </w:r>
      <w:r w:rsidR="005E6DAA">
        <w:rPr>
          <w:rFonts w:ascii="Times New Roman" w:hAnsi="Times New Roman" w:cs="Times New Roman"/>
          <w:sz w:val="24"/>
          <w:szCs w:val="24"/>
        </w:rPr>
        <w:t xml:space="preserve"> </w:t>
      </w:r>
      <w:r w:rsidR="00CC041E">
        <w:rPr>
          <w:rFonts w:ascii="Times New Roman" w:hAnsi="Times New Roman" w:cs="Times New Roman"/>
          <w:sz w:val="24"/>
          <w:szCs w:val="24"/>
        </w:rPr>
        <w:t xml:space="preserve">30-32 </w:t>
      </w:r>
      <w:r w:rsidRPr="00FD57E7">
        <w:rPr>
          <w:rFonts w:ascii="Times New Roman" w:hAnsi="Times New Roman" w:cs="Times New Roman"/>
          <w:sz w:val="24"/>
          <w:szCs w:val="24"/>
        </w:rPr>
        <w:t xml:space="preserve">milyar dolarlık proje </w:t>
      </w:r>
      <w:r w:rsidR="00BC05BA">
        <w:rPr>
          <w:rFonts w:ascii="Times New Roman" w:hAnsi="Times New Roman" w:cs="Times New Roman"/>
          <w:sz w:val="24"/>
          <w:szCs w:val="24"/>
        </w:rPr>
        <w:t>bedelleri</w:t>
      </w:r>
      <w:r w:rsidR="00AF6641">
        <w:rPr>
          <w:rFonts w:ascii="Times New Roman" w:hAnsi="Times New Roman" w:cs="Times New Roman"/>
          <w:sz w:val="24"/>
          <w:szCs w:val="24"/>
        </w:rPr>
        <w:t xml:space="preserve"> bandı,</w:t>
      </w:r>
      <w:r w:rsidR="00365D57">
        <w:rPr>
          <w:rFonts w:ascii="Times New Roman" w:hAnsi="Times New Roman" w:cs="Times New Roman"/>
          <w:sz w:val="24"/>
          <w:szCs w:val="24"/>
        </w:rPr>
        <w:t xml:space="preserve"> </w:t>
      </w:r>
      <w:r w:rsidRPr="00FD57E7">
        <w:rPr>
          <w:rFonts w:ascii="Times New Roman" w:hAnsi="Times New Roman" w:cs="Times New Roman"/>
          <w:sz w:val="24"/>
          <w:szCs w:val="24"/>
        </w:rPr>
        <w:t>ulaşılan en yüksek rakam olmuştur.</w:t>
      </w:r>
      <w:r w:rsidR="00713539">
        <w:rPr>
          <w:rFonts w:ascii="Times New Roman" w:hAnsi="Times New Roman" w:cs="Times New Roman"/>
          <w:sz w:val="24"/>
          <w:szCs w:val="24"/>
        </w:rPr>
        <w:t xml:space="preserve"> </w:t>
      </w:r>
      <w:r w:rsidR="00CC041E" w:rsidRPr="00CC041E">
        <w:rPr>
          <w:rFonts w:ascii="Times New Roman" w:hAnsi="Times New Roman" w:cs="Times New Roman"/>
          <w:sz w:val="24"/>
          <w:szCs w:val="24"/>
        </w:rPr>
        <w:t>202</w:t>
      </w:r>
      <w:r w:rsidR="005762C0">
        <w:rPr>
          <w:rFonts w:ascii="Times New Roman" w:hAnsi="Times New Roman" w:cs="Times New Roman"/>
          <w:sz w:val="24"/>
          <w:szCs w:val="24"/>
        </w:rPr>
        <w:t>3</w:t>
      </w:r>
      <w:r w:rsidR="004D421F">
        <w:rPr>
          <w:rFonts w:ascii="Times New Roman" w:hAnsi="Times New Roman" w:cs="Times New Roman"/>
          <w:sz w:val="24"/>
          <w:szCs w:val="24"/>
        </w:rPr>
        <w:t xml:space="preserve"> ve 2024</w:t>
      </w:r>
      <w:r w:rsidR="00CC041E" w:rsidRPr="00CC041E">
        <w:rPr>
          <w:rFonts w:ascii="Times New Roman" w:hAnsi="Times New Roman" w:cs="Times New Roman"/>
          <w:sz w:val="24"/>
          <w:szCs w:val="24"/>
        </w:rPr>
        <w:t xml:space="preserve"> yılında ise, ekonomik konjonktür ve </w:t>
      </w:r>
      <w:r w:rsidR="00495742" w:rsidRPr="00CC041E">
        <w:rPr>
          <w:rFonts w:ascii="Times New Roman" w:hAnsi="Times New Roman" w:cs="Times New Roman"/>
          <w:sz w:val="24"/>
          <w:szCs w:val="24"/>
        </w:rPr>
        <w:t xml:space="preserve">Rusya-Ukrayna </w:t>
      </w:r>
      <w:r w:rsidR="00CC041E" w:rsidRPr="00CC041E">
        <w:rPr>
          <w:rFonts w:ascii="Times New Roman" w:hAnsi="Times New Roman" w:cs="Times New Roman"/>
          <w:sz w:val="24"/>
          <w:szCs w:val="24"/>
        </w:rPr>
        <w:t xml:space="preserve">çatışması gibi tüm dünyayı etkileyen sorunlara rağmen </w:t>
      </w:r>
      <w:r w:rsidR="00495742" w:rsidRPr="00CC041E">
        <w:rPr>
          <w:rFonts w:ascii="Times New Roman" w:hAnsi="Times New Roman" w:cs="Times New Roman"/>
          <w:sz w:val="24"/>
          <w:szCs w:val="24"/>
        </w:rPr>
        <w:t xml:space="preserve">yıllık proje büyüklüğü </w:t>
      </w:r>
      <w:r w:rsidR="00EC5AD6">
        <w:rPr>
          <w:rFonts w:ascii="Times New Roman" w:hAnsi="Times New Roman" w:cs="Times New Roman"/>
          <w:sz w:val="24"/>
          <w:szCs w:val="24"/>
        </w:rPr>
        <w:t xml:space="preserve">yine </w:t>
      </w:r>
      <w:r w:rsidR="004D421F">
        <w:rPr>
          <w:rFonts w:ascii="Times New Roman" w:hAnsi="Times New Roman" w:cs="Times New Roman"/>
          <w:sz w:val="24"/>
          <w:szCs w:val="24"/>
        </w:rPr>
        <w:t>29</w:t>
      </w:r>
      <w:r w:rsidR="00BB7703">
        <w:rPr>
          <w:rFonts w:ascii="Times New Roman" w:hAnsi="Times New Roman" w:cs="Times New Roman"/>
          <w:sz w:val="24"/>
          <w:szCs w:val="24"/>
        </w:rPr>
        <w:t>-30</w:t>
      </w:r>
      <w:r w:rsidR="005762C0">
        <w:rPr>
          <w:rFonts w:ascii="Times New Roman" w:hAnsi="Times New Roman" w:cs="Times New Roman"/>
          <w:sz w:val="24"/>
          <w:szCs w:val="24"/>
        </w:rPr>
        <w:t xml:space="preserve"> </w:t>
      </w:r>
      <w:r w:rsidR="00495742" w:rsidRPr="00CC041E">
        <w:rPr>
          <w:rFonts w:ascii="Times New Roman" w:hAnsi="Times New Roman" w:cs="Times New Roman"/>
          <w:sz w:val="24"/>
          <w:szCs w:val="24"/>
        </w:rPr>
        <w:t>milyar dolar</w:t>
      </w:r>
      <w:r w:rsidR="004D421F">
        <w:rPr>
          <w:rFonts w:ascii="Times New Roman" w:hAnsi="Times New Roman" w:cs="Times New Roman"/>
          <w:sz w:val="24"/>
          <w:szCs w:val="24"/>
        </w:rPr>
        <w:t xml:space="preserve"> seviyelerinde</w:t>
      </w:r>
      <w:r w:rsidR="00495742" w:rsidRPr="00CC041E">
        <w:rPr>
          <w:rFonts w:ascii="Times New Roman" w:hAnsi="Times New Roman" w:cs="Times New Roman"/>
          <w:sz w:val="24"/>
          <w:szCs w:val="24"/>
        </w:rPr>
        <w:t xml:space="preserve"> gerçekleşmiştir.</w:t>
      </w:r>
    </w:p>
    <w:p w14:paraId="7E54B46A" w14:textId="77777777" w:rsidR="00BB5CFD" w:rsidRPr="00CC041E" w:rsidRDefault="00BB5CFD" w:rsidP="00BB5CFD">
      <w:pPr>
        <w:spacing w:after="0" w:line="240" w:lineRule="auto"/>
        <w:jc w:val="both"/>
        <w:rPr>
          <w:rFonts w:ascii="Times New Roman" w:hAnsi="Times New Roman" w:cs="Times New Roman"/>
          <w:sz w:val="24"/>
          <w:szCs w:val="24"/>
        </w:rPr>
      </w:pPr>
    </w:p>
    <w:p w14:paraId="129A4E95" w14:textId="77777777" w:rsidR="000C491A" w:rsidRPr="00AD6787" w:rsidRDefault="000C491A" w:rsidP="00BB5CFD">
      <w:pPr>
        <w:spacing w:after="0" w:line="240" w:lineRule="auto"/>
        <w:jc w:val="both"/>
        <w:rPr>
          <w:rFonts w:ascii="Times New Roman" w:hAnsi="Times New Roman" w:cs="Times New Roman"/>
          <w:sz w:val="20"/>
          <w:szCs w:val="24"/>
        </w:rPr>
      </w:pPr>
    </w:p>
    <w:tbl>
      <w:tblPr>
        <w:tblStyle w:val="KlavuzTablo1Ak-Vurgu11"/>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309"/>
        <w:gridCol w:w="2181"/>
        <w:gridCol w:w="1649"/>
        <w:gridCol w:w="2172"/>
      </w:tblGrid>
      <w:tr w:rsidR="00203F07" w:rsidRPr="00691738" w14:paraId="1668A03D" w14:textId="77777777" w:rsidTr="008625C1">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656" w:type="dxa"/>
            <w:tcBorders>
              <w:bottom w:val="none" w:sz="0" w:space="0" w:color="auto"/>
            </w:tcBorders>
            <w:shd w:val="clear" w:color="auto" w:fill="9CC2E5" w:themeFill="accent1" w:themeFillTint="99"/>
            <w:noWrap/>
            <w:vAlign w:val="center"/>
            <w:hideMark/>
          </w:tcPr>
          <w:p w14:paraId="44C55836" w14:textId="77777777" w:rsidR="00203F07" w:rsidRPr="00691738" w:rsidRDefault="00203F07" w:rsidP="00BB5CFD">
            <w:pPr>
              <w:jc w:val="center"/>
              <w:rPr>
                <w:rFonts w:ascii="Times New Roman" w:hAnsi="Times New Roman" w:cs="Times New Roman"/>
                <w:sz w:val="24"/>
                <w:szCs w:val="24"/>
              </w:rPr>
            </w:pPr>
            <w:r w:rsidRPr="00691738">
              <w:rPr>
                <w:rFonts w:ascii="Times New Roman" w:hAnsi="Times New Roman" w:cs="Times New Roman"/>
                <w:sz w:val="24"/>
                <w:szCs w:val="24"/>
              </w:rPr>
              <w:t>Yıllar</w:t>
            </w:r>
          </w:p>
        </w:tc>
        <w:tc>
          <w:tcPr>
            <w:tcW w:w="1348" w:type="dxa"/>
            <w:tcBorders>
              <w:bottom w:val="none" w:sz="0" w:space="0" w:color="auto"/>
            </w:tcBorders>
            <w:shd w:val="clear" w:color="auto" w:fill="9CC2E5" w:themeFill="accent1" w:themeFillTint="99"/>
            <w:noWrap/>
            <w:vAlign w:val="center"/>
            <w:hideMark/>
          </w:tcPr>
          <w:p w14:paraId="61D5DE4A"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Proje Sayısı</w:t>
            </w:r>
          </w:p>
        </w:tc>
        <w:tc>
          <w:tcPr>
            <w:tcW w:w="2252" w:type="dxa"/>
            <w:tcBorders>
              <w:bottom w:val="none" w:sz="0" w:space="0" w:color="auto"/>
            </w:tcBorders>
            <w:shd w:val="clear" w:color="auto" w:fill="9CC2E5" w:themeFill="accent1" w:themeFillTint="99"/>
            <w:noWrap/>
            <w:vAlign w:val="center"/>
            <w:hideMark/>
          </w:tcPr>
          <w:p w14:paraId="64BDB272"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Yıllık Toplam Proje Bedeli ($)</w:t>
            </w:r>
          </w:p>
        </w:tc>
        <w:tc>
          <w:tcPr>
            <w:tcW w:w="1562" w:type="dxa"/>
            <w:tcBorders>
              <w:bottom w:val="none" w:sz="0" w:space="0" w:color="auto"/>
            </w:tcBorders>
            <w:shd w:val="clear" w:color="auto" w:fill="9CC2E5" w:themeFill="accent1" w:themeFillTint="99"/>
          </w:tcPr>
          <w:p w14:paraId="5C739907" w14:textId="77777777" w:rsidR="00203F07" w:rsidRPr="00691738" w:rsidRDefault="00637433"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Kümülatif Proje Bedeli ($)</w:t>
            </w:r>
          </w:p>
        </w:tc>
        <w:tc>
          <w:tcPr>
            <w:tcW w:w="2242" w:type="dxa"/>
            <w:tcBorders>
              <w:bottom w:val="none" w:sz="0" w:space="0" w:color="auto"/>
            </w:tcBorders>
            <w:shd w:val="clear" w:color="auto" w:fill="9CC2E5" w:themeFill="accent1" w:themeFillTint="99"/>
            <w:noWrap/>
            <w:vAlign w:val="center"/>
            <w:hideMark/>
          </w:tcPr>
          <w:p w14:paraId="59C284AC"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Ortalama Proje Bedeli ($)</w:t>
            </w:r>
          </w:p>
        </w:tc>
      </w:tr>
      <w:tr w:rsidR="008E5AB9" w:rsidRPr="008E5AB9" w14:paraId="798F4CE8"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46D81143"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2008</w:t>
            </w:r>
          </w:p>
        </w:tc>
        <w:tc>
          <w:tcPr>
            <w:tcW w:w="1348"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6A1B0DA8" w14:textId="6EB54E0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667</w:t>
            </w:r>
          </w:p>
        </w:tc>
        <w:tc>
          <w:tcPr>
            <w:tcW w:w="2252" w:type="dxa"/>
            <w:tcBorders>
              <w:top w:val="single" w:sz="4" w:space="0" w:color="333399"/>
              <w:left w:val="nil"/>
              <w:bottom w:val="single" w:sz="4" w:space="0" w:color="333399"/>
              <w:right w:val="single" w:sz="4" w:space="0" w:color="333399"/>
            </w:tcBorders>
            <w:shd w:val="clear" w:color="auto" w:fill="auto"/>
            <w:noWrap/>
            <w:vAlign w:val="center"/>
          </w:tcPr>
          <w:p w14:paraId="2AE7C976" w14:textId="1779259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24.694.445.968</w:t>
            </w:r>
          </w:p>
        </w:tc>
        <w:tc>
          <w:tcPr>
            <w:tcW w:w="1562" w:type="dxa"/>
            <w:tcBorders>
              <w:top w:val="single" w:sz="4" w:space="0" w:color="333399"/>
              <w:left w:val="nil"/>
              <w:bottom w:val="single" w:sz="4" w:space="0" w:color="333399"/>
              <w:right w:val="single" w:sz="4" w:space="0" w:color="333399"/>
            </w:tcBorders>
            <w:shd w:val="clear" w:color="auto" w:fill="auto"/>
            <w:vAlign w:val="center"/>
          </w:tcPr>
          <w:p w14:paraId="19288F22" w14:textId="0E31F78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150.441.519.822</w:t>
            </w:r>
          </w:p>
        </w:tc>
        <w:tc>
          <w:tcPr>
            <w:tcW w:w="2242" w:type="dxa"/>
            <w:tcBorders>
              <w:top w:val="single" w:sz="4" w:space="0" w:color="333399"/>
              <w:left w:val="nil"/>
              <w:bottom w:val="single" w:sz="4" w:space="0" w:color="333399"/>
              <w:right w:val="single" w:sz="8" w:space="0" w:color="auto"/>
            </w:tcBorders>
            <w:shd w:val="clear" w:color="auto" w:fill="auto"/>
            <w:noWrap/>
            <w:vAlign w:val="center"/>
          </w:tcPr>
          <w:p w14:paraId="4407C7F8" w14:textId="0A06C0D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37.023.157</w:t>
            </w:r>
          </w:p>
        </w:tc>
      </w:tr>
      <w:tr w:rsidR="008E5AB9" w:rsidRPr="008E5AB9" w14:paraId="0001F929"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09865BFE"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2009</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0283CE8F" w14:textId="26704FAD"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505</w:t>
            </w:r>
          </w:p>
        </w:tc>
        <w:tc>
          <w:tcPr>
            <w:tcW w:w="2252" w:type="dxa"/>
            <w:tcBorders>
              <w:top w:val="nil"/>
              <w:left w:val="nil"/>
              <w:bottom w:val="single" w:sz="4" w:space="0" w:color="333399"/>
              <w:right w:val="single" w:sz="4" w:space="0" w:color="333399"/>
            </w:tcBorders>
            <w:shd w:val="clear" w:color="auto" w:fill="auto"/>
            <w:noWrap/>
            <w:vAlign w:val="center"/>
          </w:tcPr>
          <w:p w14:paraId="1597E8AB" w14:textId="3EC3F8EB"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20.122.950.185</w:t>
            </w:r>
          </w:p>
        </w:tc>
        <w:tc>
          <w:tcPr>
            <w:tcW w:w="1562" w:type="dxa"/>
            <w:tcBorders>
              <w:top w:val="nil"/>
              <w:left w:val="nil"/>
              <w:bottom w:val="single" w:sz="4" w:space="0" w:color="333399"/>
              <w:right w:val="single" w:sz="4" w:space="0" w:color="333399"/>
            </w:tcBorders>
            <w:shd w:val="clear" w:color="auto" w:fill="auto"/>
            <w:vAlign w:val="center"/>
          </w:tcPr>
          <w:p w14:paraId="7FC59BBF" w14:textId="1ABC3D2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170.564.470.007</w:t>
            </w:r>
          </w:p>
        </w:tc>
        <w:tc>
          <w:tcPr>
            <w:tcW w:w="2242" w:type="dxa"/>
            <w:tcBorders>
              <w:top w:val="nil"/>
              <w:left w:val="nil"/>
              <w:bottom w:val="single" w:sz="4" w:space="0" w:color="333399"/>
              <w:right w:val="single" w:sz="8" w:space="0" w:color="auto"/>
            </w:tcBorders>
            <w:shd w:val="clear" w:color="auto" w:fill="auto"/>
            <w:noWrap/>
            <w:vAlign w:val="center"/>
          </w:tcPr>
          <w:p w14:paraId="5AF4E4FF" w14:textId="3E92123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39.847.426</w:t>
            </w:r>
          </w:p>
        </w:tc>
      </w:tr>
      <w:tr w:rsidR="008E5AB9" w:rsidRPr="008E5AB9" w14:paraId="23D30232"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66C04A4C"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2010</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79EF2C7C" w14:textId="6E3305F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632</w:t>
            </w:r>
          </w:p>
        </w:tc>
        <w:tc>
          <w:tcPr>
            <w:tcW w:w="2252" w:type="dxa"/>
            <w:tcBorders>
              <w:top w:val="nil"/>
              <w:left w:val="nil"/>
              <w:bottom w:val="single" w:sz="4" w:space="0" w:color="333399"/>
              <w:right w:val="single" w:sz="4" w:space="0" w:color="333399"/>
            </w:tcBorders>
            <w:shd w:val="clear" w:color="auto" w:fill="auto"/>
            <w:noWrap/>
            <w:vAlign w:val="center"/>
          </w:tcPr>
          <w:p w14:paraId="678A87CE" w14:textId="460BCDA9"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23.372.601.439</w:t>
            </w:r>
          </w:p>
        </w:tc>
        <w:tc>
          <w:tcPr>
            <w:tcW w:w="1562" w:type="dxa"/>
            <w:tcBorders>
              <w:top w:val="nil"/>
              <w:left w:val="nil"/>
              <w:bottom w:val="single" w:sz="4" w:space="0" w:color="333399"/>
              <w:right w:val="single" w:sz="4" w:space="0" w:color="333399"/>
            </w:tcBorders>
            <w:shd w:val="clear" w:color="auto" w:fill="auto"/>
            <w:vAlign w:val="center"/>
          </w:tcPr>
          <w:p w14:paraId="4888E64B" w14:textId="4B02C02F"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193.937.071.446</w:t>
            </w:r>
          </w:p>
        </w:tc>
        <w:tc>
          <w:tcPr>
            <w:tcW w:w="2242" w:type="dxa"/>
            <w:tcBorders>
              <w:top w:val="nil"/>
              <w:left w:val="nil"/>
              <w:bottom w:val="single" w:sz="4" w:space="0" w:color="333399"/>
              <w:right w:val="single" w:sz="8" w:space="0" w:color="auto"/>
            </w:tcBorders>
            <w:shd w:val="clear" w:color="auto" w:fill="auto"/>
            <w:noWrap/>
            <w:vAlign w:val="center"/>
          </w:tcPr>
          <w:p w14:paraId="46F799C5" w14:textId="1391C68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36.981.964</w:t>
            </w:r>
          </w:p>
        </w:tc>
      </w:tr>
      <w:tr w:rsidR="008E5AB9" w:rsidRPr="008E5AB9" w14:paraId="663FD306"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7107F3A8"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2011</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591B5669" w14:textId="02076D8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561</w:t>
            </w:r>
          </w:p>
        </w:tc>
        <w:tc>
          <w:tcPr>
            <w:tcW w:w="2252" w:type="dxa"/>
            <w:tcBorders>
              <w:top w:val="nil"/>
              <w:left w:val="nil"/>
              <w:bottom w:val="single" w:sz="4" w:space="0" w:color="333399"/>
              <w:right w:val="single" w:sz="4" w:space="0" w:color="333399"/>
            </w:tcBorders>
            <w:shd w:val="clear" w:color="auto" w:fill="auto"/>
            <w:noWrap/>
            <w:vAlign w:val="center"/>
          </w:tcPr>
          <w:p w14:paraId="08CEE705" w14:textId="352224F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24.772.197.117</w:t>
            </w:r>
          </w:p>
        </w:tc>
        <w:tc>
          <w:tcPr>
            <w:tcW w:w="1562" w:type="dxa"/>
            <w:tcBorders>
              <w:top w:val="nil"/>
              <w:left w:val="nil"/>
              <w:bottom w:val="single" w:sz="4" w:space="0" w:color="333399"/>
              <w:right w:val="single" w:sz="4" w:space="0" w:color="333399"/>
            </w:tcBorders>
            <w:shd w:val="clear" w:color="auto" w:fill="auto"/>
            <w:vAlign w:val="center"/>
          </w:tcPr>
          <w:p w14:paraId="04815B60" w14:textId="0E0AD24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218.709.268.562</w:t>
            </w:r>
          </w:p>
        </w:tc>
        <w:tc>
          <w:tcPr>
            <w:tcW w:w="2242" w:type="dxa"/>
            <w:tcBorders>
              <w:top w:val="nil"/>
              <w:left w:val="nil"/>
              <w:bottom w:val="single" w:sz="4" w:space="0" w:color="333399"/>
              <w:right w:val="single" w:sz="8" w:space="0" w:color="auto"/>
            </w:tcBorders>
            <w:shd w:val="clear" w:color="auto" w:fill="auto"/>
            <w:noWrap/>
            <w:vAlign w:val="center"/>
          </w:tcPr>
          <w:p w14:paraId="719B19F5" w14:textId="2D85D09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44.157.214</w:t>
            </w:r>
          </w:p>
        </w:tc>
      </w:tr>
      <w:tr w:rsidR="008E5AB9" w:rsidRPr="008E5AB9" w14:paraId="22AEE8C2"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398F734F"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2012</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4F476747" w14:textId="1046981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551</w:t>
            </w:r>
          </w:p>
        </w:tc>
        <w:tc>
          <w:tcPr>
            <w:tcW w:w="2252" w:type="dxa"/>
            <w:tcBorders>
              <w:top w:val="nil"/>
              <w:left w:val="nil"/>
              <w:bottom w:val="single" w:sz="4" w:space="0" w:color="333399"/>
              <w:right w:val="single" w:sz="4" w:space="0" w:color="333399"/>
            </w:tcBorders>
            <w:shd w:val="clear" w:color="auto" w:fill="auto"/>
            <w:noWrap/>
            <w:vAlign w:val="center"/>
          </w:tcPr>
          <w:p w14:paraId="0151F6DF" w14:textId="41F1AF33"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31.689.151.934</w:t>
            </w:r>
          </w:p>
        </w:tc>
        <w:tc>
          <w:tcPr>
            <w:tcW w:w="1562" w:type="dxa"/>
            <w:tcBorders>
              <w:top w:val="nil"/>
              <w:left w:val="nil"/>
              <w:bottom w:val="single" w:sz="4" w:space="0" w:color="333399"/>
              <w:right w:val="single" w:sz="4" w:space="0" w:color="333399"/>
            </w:tcBorders>
            <w:shd w:val="clear" w:color="auto" w:fill="auto"/>
            <w:vAlign w:val="center"/>
          </w:tcPr>
          <w:p w14:paraId="407887F4" w14:textId="4269D27E"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250.398.420.496</w:t>
            </w:r>
          </w:p>
        </w:tc>
        <w:tc>
          <w:tcPr>
            <w:tcW w:w="2242" w:type="dxa"/>
            <w:tcBorders>
              <w:top w:val="nil"/>
              <w:left w:val="nil"/>
              <w:bottom w:val="single" w:sz="4" w:space="0" w:color="333399"/>
              <w:right w:val="single" w:sz="8" w:space="0" w:color="auto"/>
            </w:tcBorders>
            <w:shd w:val="clear" w:color="auto" w:fill="auto"/>
            <w:noWrap/>
            <w:vAlign w:val="center"/>
          </w:tcPr>
          <w:p w14:paraId="6B04654B" w14:textId="1EDDA61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57.512.072</w:t>
            </w:r>
          </w:p>
        </w:tc>
      </w:tr>
      <w:tr w:rsidR="008E5AB9" w:rsidRPr="008E5AB9" w14:paraId="74A1F8A4"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2B240D5B"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2013</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21211C59" w14:textId="0F06851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437</w:t>
            </w:r>
          </w:p>
        </w:tc>
        <w:tc>
          <w:tcPr>
            <w:tcW w:w="2252" w:type="dxa"/>
            <w:tcBorders>
              <w:top w:val="nil"/>
              <w:left w:val="nil"/>
              <w:bottom w:val="single" w:sz="4" w:space="0" w:color="333399"/>
              <w:right w:val="single" w:sz="4" w:space="0" w:color="333399"/>
            </w:tcBorders>
            <w:shd w:val="clear" w:color="auto" w:fill="auto"/>
            <w:noWrap/>
            <w:vAlign w:val="center"/>
          </w:tcPr>
          <w:p w14:paraId="0E495654" w14:textId="2BF7652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31.230.438.469</w:t>
            </w:r>
          </w:p>
        </w:tc>
        <w:tc>
          <w:tcPr>
            <w:tcW w:w="1562" w:type="dxa"/>
            <w:tcBorders>
              <w:top w:val="nil"/>
              <w:left w:val="nil"/>
              <w:bottom w:val="single" w:sz="4" w:space="0" w:color="333399"/>
              <w:right w:val="single" w:sz="4" w:space="0" w:color="333399"/>
            </w:tcBorders>
            <w:shd w:val="clear" w:color="auto" w:fill="auto"/>
            <w:vAlign w:val="center"/>
          </w:tcPr>
          <w:p w14:paraId="2E819FBF" w14:textId="283085F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281.628.858.965</w:t>
            </w:r>
          </w:p>
        </w:tc>
        <w:tc>
          <w:tcPr>
            <w:tcW w:w="2242" w:type="dxa"/>
            <w:tcBorders>
              <w:top w:val="nil"/>
              <w:left w:val="nil"/>
              <w:bottom w:val="single" w:sz="4" w:space="0" w:color="333399"/>
              <w:right w:val="single" w:sz="8" w:space="0" w:color="auto"/>
            </w:tcBorders>
            <w:shd w:val="clear" w:color="auto" w:fill="auto"/>
            <w:noWrap/>
            <w:vAlign w:val="center"/>
          </w:tcPr>
          <w:p w14:paraId="3DDA23F3" w14:textId="6068017E"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71.465.534</w:t>
            </w:r>
          </w:p>
        </w:tc>
      </w:tr>
      <w:tr w:rsidR="008E5AB9" w:rsidRPr="008E5AB9" w14:paraId="33370073"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04CCA3D8"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2014</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39B6371D" w14:textId="66FAF7E0"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361</w:t>
            </w:r>
          </w:p>
        </w:tc>
        <w:tc>
          <w:tcPr>
            <w:tcW w:w="2252" w:type="dxa"/>
            <w:tcBorders>
              <w:top w:val="nil"/>
              <w:left w:val="nil"/>
              <w:bottom w:val="single" w:sz="4" w:space="0" w:color="333399"/>
              <w:right w:val="single" w:sz="4" w:space="0" w:color="333399"/>
            </w:tcBorders>
            <w:shd w:val="clear" w:color="auto" w:fill="auto"/>
            <w:noWrap/>
            <w:vAlign w:val="center"/>
          </w:tcPr>
          <w:p w14:paraId="1E6D1C5E" w14:textId="4D518599"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26.834.625.099</w:t>
            </w:r>
          </w:p>
        </w:tc>
        <w:tc>
          <w:tcPr>
            <w:tcW w:w="1562" w:type="dxa"/>
            <w:tcBorders>
              <w:top w:val="nil"/>
              <w:left w:val="nil"/>
              <w:bottom w:val="single" w:sz="4" w:space="0" w:color="333399"/>
              <w:right w:val="single" w:sz="4" w:space="0" w:color="333399"/>
            </w:tcBorders>
            <w:shd w:val="clear" w:color="auto" w:fill="auto"/>
            <w:vAlign w:val="center"/>
          </w:tcPr>
          <w:p w14:paraId="5AE60AE7" w14:textId="65E43863"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308.463.484.064</w:t>
            </w:r>
          </w:p>
        </w:tc>
        <w:tc>
          <w:tcPr>
            <w:tcW w:w="2242" w:type="dxa"/>
            <w:tcBorders>
              <w:top w:val="nil"/>
              <w:left w:val="nil"/>
              <w:bottom w:val="single" w:sz="4" w:space="0" w:color="333399"/>
              <w:right w:val="single" w:sz="8" w:space="0" w:color="auto"/>
            </w:tcBorders>
            <w:shd w:val="clear" w:color="auto" w:fill="auto"/>
            <w:noWrap/>
            <w:vAlign w:val="center"/>
          </w:tcPr>
          <w:p w14:paraId="463D2811" w14:textId="58F2568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74.334.142</w:t>
            </w:r>
          </w:p>
        </w:tc>
      </w:tr>
      <w:tr w:rsidR="008E5AB9" w:rsidRPr="008E5AB9" w14:paraId="6B982CA1"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6019014F"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2015</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3A54231E" w14:textId="3EF5EC9D"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287</w:t>
            </w:r>
          </w:p>
        </w:tc>
        <w:tc>
          <w:tcPr>
            <w:tcW w:w="2252" w:type="dxa"/>
            <w:tcBorders>
              <w:top w:val="nil"/>
              <w:left w:val="nil"/>
              <w:bottom w:val="single" w:sz="4" w:space="0" w:color="333399"/>
              <w:right w:val="single" w:sz="4" w:space="0" w:color="333399"/>
            </w:tcBorders>
            <w:shd w:val="clear" w:color="auto" w:fill="auto"/>
            <w:noWrap/>
            <w:vAlign w:val="center"/>
          </w:tcPr>
          <w:p w14:paraId="48D4138F" w14:textId="722535F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24.048.599.377</w:t>
            </w:r>
          </w:p>
        </w:tc>
        <w:tc>
          <w:tcPr>
            <w:tcW w:w="1562" w:type="dxa"/>
            <w:tcBorders>
              <w:top w:val="nil"/>
              <w:left w:val="nil"/>
              <w:bottom w:val="single" w:sz="4" w:space="0" w:color="333399"/>
              <w:right w:val="single" w:sz="4" w:space="0" w:color="333399"/>
            </w:tcBorders>
            <w:shd w:val="clear" w:color="auto" w:fill="auto"/>
            <w:vAlign w:val="center"/>
          </w:tcPr>
          <w:p w14:paraId="0AFF30BD" w14:textId="7AC0936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332.512.083.441</w:t>
            </w:r>
          </w:p>
        </w:tc>
        <w:tc>
          <w:tcPr>
            <w:tcW w:w="2242" w:type="dxa"/>
            <w:tcBorders>
              <w:top w:val="nil"/>
              <w:left w:val="nil"/>
              <w:bottom w:val="single" w:sz="4" w:space="0" w:color="333399"/>
              <w:right w:val="single" w:sz="8" w:space="0" w:color="auto"/>
            </w:tcBorders>
            <w:shd w:val="clear" w:color="auto" w:fill="auto"/>
            <w:noWrap/>
            <w:vAlign w:val="center"/>
          </w:tcPr>
          <w:p w14:paraId="7AFD89B0" w14:textId="4AF74E4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83.793.029</w:t>
            </w:r>
          </w:p>
        </w:tc>
      </w:tr>
      <w:tr w:rsidR="008E5AB9" w:rsidRPr="008E5AB9" w14:paraId="2AB2127C"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47F51AE4"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2016</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21158727" w14:textId="06A9620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222</w:t>
            </w:r>
          </w:p>
        </w:tc>
        <w:tc>
          <w:tcPr>
            <w:tcW w:w="2252" w:type="dxa"/>
            <w:tcBorders>
              <w:top w:val="nil"/>
              <w:left w:val="nil"/>
              <w:bottom w:val="single" w:sz="4" w:space="0" w:color="333399"/>
              <w:right w:val="single" w:sz="4" w:space="0" w:color="333399"/>
            </w:tcBorders>
            <w:shd w:val="clear" w:color="auto" w:fill="auto"/>
            <w:noWrap/>
            <w:vAlign w:val="center"/>
          </w:tcPr>
          <w:p w14:paraId="51EEB357" w14:textId="50CFD12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15.024.843.404</w:t>
            </w:r>
          </w:p>
        </w:tc>
        <w:tc>
          <w:tcPr>
            <w:tcW w:w="1562" w:type="dxa"/>
            <w:tcBorders>
              <w:top w:val="nil"/>
              <w:left w:val="nil"/>
              <w:bottom w:val="single" w:sz="4" w:space="0" w:color="333399"/>
              <w:right w:val="single" w:sz="4" w:space="0" w:color="333399"/>
            </w:tcBorders>
            <w:shd w:val="clear" w:color="auto" w:fill="auto"/>
            <w:vAlign w:val="center"/>
          </w:tcPr>
          <w:p w14:paraId="4D62F815" w14:textId="24F32562"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347.536.926.845</w:t>
            </w:r>
          </w:p>
        </w:tc>
        <w:tc>
          <w:tcPr>
            <w:tcW w:w="2242" w:type="dxa"/>
            <w:tcBorders>
              <w:top w:val="nil"/>
              <w:left w:val="nil"/>
              <w:bottom w:val="single" w:sz="4" w:space="0" w:color="333399"/>
              <w:right w:val="single" w:sz="8" w:space="0" w:color="auto"/>
            </w:tcBorders>
            <w:shd w:val="clear" w:color="auto" w:fill="auto"/>
            <w:noWrap/>
            <w:vAlign w:val="center"/>
          </w:tcPr>
          <w:p w14:paraId="68D4118C" w14:textId="2A31F849"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67.679.475</w:t>
            </w:r>
          </w:p>
        </w:tc>
      </w:tr>
      <w:tr w:rsidR="008E5AB9" w:rsidRPr="008E5AB9" w14:paraId="30BDC553"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0C7BE4BC"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2017</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0802B0EE" w14:textId="05CCEF18"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314</w:t>
            </w:r>
          </w:p>
        </w:tc>
        <w:tc>
          <w:tcPr>
            <w:tcW w:w="2252" w:type="dxa"/>
            <w:tcBorders>
              <w:top w:val="nil"/>
              <w:left w:val="nil"/>
              <w:bottom w:val="single" w:sz="4" w:space="0" w:color="333399"/>
              <w:right w:val="single" w:sz="4" w:space="0" w:color="333399"/>
            </w:tcBorders>
            <w:shd w:val="clear" w:color="auto" w:fill="auto"/>
            <w:noWrap/>
            <w:vAlign w:val="center"/>
          </w:tcPr>
          <w:p w14:paraId="6A4A4983" w14:textId="04388EA5"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17.868.257.459</w:t>
            </w:r>
          </w:p>
        </w:tc>
        <w:tc>
          <w:tcPr>
            <w:tcW w:w="1562" w:type="dxa"/>
            <w:tcBorders>
              <w:top w:val="nil"/>
              <w:left w:val="nil"/>
              <w:bottom w:val="single" w:sz="4" w:space="0" w:color="333399"/>
              <w:right w:val="single" w:sz="4" w:space="0" w:color="333399"/>
            </w:tcBorders>
            <w:shd w:val="clear" w:color="auto" w:fill="auto"/>
            <w:vAlign w:val="center"/>
          </w:tcPr>
          <w:p w14:paraId="3EF3297D" w14:textId="099C8BF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365.405.184.305</w:t>
            </w:r>
          </w:p>
        </w:tc>
        <w:tc>
          <w:tcPr>
            <w:tcW w:w="2242" w:type="dxa"/>
            <w:tcBorders>
              <w:top w:val="nil"/>
              <w:left w:val="nil"/>
              <w:bottom w:val="single" w:sz="4" w:space="0" w:color="333399"/>
              <w:right w:val="single" w:sz="8" w:space="0" w:color="auto"/>
            </w:tcBorders>
            <w:shd w:val="clear" w:color="auto" w:fill="auto"/>
            <w:noWrap/>
            <w:vAlign w:val="center"/>
          </w:tcPr>
          <w:p w14:paraId="118B86C4" w14:textId="4FB45D69"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56.905.279</w:t>
            </w:r>
          </w:p>
        </w:tc>
      </w:tr>
      <w:tr w:rsidR="008E5AB9" w:rsidRPr="008E5AB9" w14:paraId="2FA11305"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7B47DCDC"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2018</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0EF0F0B7" w14:textId="5129F00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388</w:t>
            </w:r>
          </w:p>
        </w:tc>
        <w:tc>
          <w:tcPr>
            <w:tcW w:w="2252" w:type="dxa"/>
            <w:tcBorders>
              <w:top w:val="nil"/>
              <w:left w:val="nil"/>
              <w:bottom w:val="single" w:sz="4" w:space="0" w:color="333399"/>
              <w:right w:val="single" w:sz="4" w:space="0" w:color="333399"/>
            </w:tcBorders>
            <w:shd w:val="clear" w:color="auto" w:fill="auto"/>
            <w:noWrap/>
            <w:vAlign w:val="center"/>
          </w:tcPr>
          <w:p w14:paraId="4C4F5BA5" w14:textId="524985E0"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22.681.305.531</w:t>
            </w:r>
          </w:p>
        </w:tc>
        <w:tc>
          <w:tcPr>
            <w:tcW w:w="1562" w:type="dxa"/>
            <w:tcBorders>
              <w:top w:val="nil"/>
              <w:left w:val="nil"/>
              <w:bottom w:val="single" w:sz="4" w:space="0" w:color="333399"/>
              <w:right w:val="single" w:sz="4" w:space="0" w:color="333399"/>
            </w:tcBorders>
            <w:shd w:val="clear" w:color="auto" w:fill="auto"/>
            <w:vAlign w:val="center"/>
          </w:tcPr>
          <w:p w14:paraId="1B7BA781" w14:textId="7F1CE05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388.086.489.836</w:t>
            </w:r>
          </w:p>
        </w:tc>
        <w:tc>
          <w:tcPr>
            <w:tcW w:w="2242" w:type="dxa"/>
            <w:tcBorders>
              <w:top w:val="nil"/>
              <w:left w:val="nil"/>
              <w:bottom w:val="single" w:sz="4" w:space="0" w:color="333399"/>
              <w:right w:val="single" w:sz="8" w:space="0" w:color="auto"/>
            </w:tcBorders>
            <w:shd w:val="clear" w:color="auto" w:fill="auto"/>
            <w:noWrap/>
            <w:vAlign w:val="center"/>
          </w:tcPr>
          <w:p w14:paraId="71D5BC2E" w14:textId="2E9BFB76"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58.456.973</w:t>
            </w:r>
          </w:p>
        </w:tc>
      </w:tr>
      <w:tr w:rsidR="008E5AB9" w:rsidRPr="008E5AB9" w14:paraId="44CFDB5C"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51636648"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2019</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6D57AC39" w14:textId="7EFABD2E"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544</w:t>
            </w:r>
          </w:p>
        </w:tc>
        <w:tc>
          <w:tcPr>
            <w:tcW w:w="2252" w:type="dxa"/>
            <w:tcBorders>
              <w:top w:val="nil"/>
              <w:left w:val="nil"/>
              <w:bottom w:val="single" w:sz="4" w:space="0" w:color="333399"/>
              <w:right w:val="single" w:sz="4" w:space="0" w:color="333399"/>
            </w:tcBorders>
            <w:shd w:val="clear" w:color="auto" w:fill="auto"/>
            <w:noWrap/>
            <w:vAlign w:val="center"/>
          </w:tcPr>
          <w:p w14:paraId="5776FF44" w14:textId="35B51DB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19.954.016.558</w:t>
            </w:r>
          </w:p>
        </w:tc>
        <w:tc>
          <w:tcPr>
            <w:tcW w:w="1562" w:type="dxa"/>
            <w:tcBorders>
              <w:top w:val="nil"/>
              <w:left w:val="nil"/>
              <w:bottom w:val="single" w:sz="4" w:space="0" w:color="333399"/>
              <w:right w:val="single" w:sz="4" w:space="0" w:color="333399"/>
            </w:tcBorders>
            <w:shd w:val="clear" w:color="auto" w:fill="auto"/>
            <w:vAlign w:val="center"/>
          </w:tcPr>
          <w:p w14:paraId="0B2BB796" w14:textId="56A14BB6"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408.040.506.394</w:t>
            </w:r>
          </w:p>
        </w:tc>
        <w:tc>
          <w:tcPr>
            <w:tcW w:w="2242" w:type="dxa"/>
            <w:tcBorders>
              <w:top w:val="nil"/>
              <w:left w:val="nil"/>
              <w:bottom w:val="single" w:sz="4" w:space="0" w:color="333399"/>
              <w:right w:val="single" w:sz="8" w:space="0" w:color="auto"/>
            </w:tcBorders>
            <w:shd w:val="clear" w:color="auto" w:fill="auto"/>
            <w:noWrap/>
            <w:vAlign w:val="center"/>
          </w:tcPr>
          <w:p w14:paraId="272EADD7" w14:textId="7F38D0D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36.680.177</w:t>
            </w:r>
          </w:p>
        </w:tc>
      </w:tr>
      <w:tr w:rsidR="008E5AB9" w:rsidRPr="008E5AB9" w14:paraId="3D2FC9F4"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751F327C"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2020</w:t>
            </w:r>
          </w:p>
        </w:tc>
        <w:tc>
          <w:tcPr>
            <w:tcW w:w="1348" w:type="dxa"/>
            <w:tcBorders>
              <w:top w:val="nil"/>
              <w:left w:val="single" w:sz="4" w:space="0" w:color="333399"/>
              <w:bottom w:val="single" w:sz="4" w:space="0" w:color="333399"/>
              <w:right w:val="single" w:sz="4" w:space="0" w:color="333399"/>
            </w:tcBorders>
            <w:shd w:val="clear" w:color="auto" w:fill="auto"/>
            <w:noWrap/>
            <w:vAlign w:val="center"/>
            <w:hideMark/>
          </w:tcPr>
          <w:p w14:paraId="48E0A5A0" w14:textId="257A0ED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386</w:t>
            </w:r>
          </w:p>
        </w:tc>
        <w:tc>
          <w:tcPr>
            <w:tcW w:w="2252" w:type="dxa"/>
            <w:tcBorders>
              <w:top w:val="nil"/>
              <w:left w:val="nil"/>
              <w:bottom w:val="single" w:sz="4" w:space="0" w:color="333399"/>
              <w:right w:val="single" w:sz="4" w:space="0" w:color="333399"/>
            </w:tcBorders>
            <w:shd w:val="clear" w:color="auto" w:fill="auto"/>
            <w:noWrap/>
            <w:vAlign w:val="center"/>
          </w:tcPr>
          <w:p w14:paraId="6D3EB839" w14:textId="7FB51C8F"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17.150.424.794</w:t>
            </w:r>
          </w:p>
        </w:tc>
        <w:tc>
          <w:tcPr>
            <w:tcW w:w="1562" w:type="dxa"/>
            <w:tcBorders>
              <w:top w:val="nil"/>
              <w:left w:val="nil"/>
              <w:bottom w:val="single" w:sz="4" w:space="0" w:color="333399"/>
              <w:right w:val="single" w:sz="4" w:space="0" w:color="333399"/>
            </w:tcBorders>
            <w:shd w:val="clear" w:color="auto" w:fill="auto"/>
            <w:vAlign w:val="center"/>
          </w:tcPr>
          <w:p w14:paraId="1A2E5F64" w14:textId="70718B3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425.190.931.189</w:t>
            </w:r>
          </w:p>
        </w:tc>
        <w:tc>
          <w:tcPr>
            <w:tcW w:w="2242" w:type="dxa"/>
            <w:tcBorders>
              <w:top w:val="nil"/>
              <w:left w:val="nil"/>
              <w:bottom w:val="single" w:sz="4" w:space="0" w:color="333399"/>
              <w:right w:val="single" w:sz="8" w:space="0" w:color="auto"/>
            </w:tcBorders>
            <w:shd w:val="clear" w:color="auto" w:fill="auto"/>
            <w:noWrap/>
            <w:vAlign w:val="center"/>
          </w:tcPr>
          <w:p w14:paraId="000E3C66" w14:textId="7AB36E6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44.431.152</w:t>
            </w:r>
          </w:p>
        </w:tc>
      </w:tr>
      <w:tr w:rsidR="008E5AB9" w:rsidRPr="008E5AB9" w14:paraId="66901E06"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tcPr>
          <w:p w14:paraId="6D63789F"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2021</w:t>
            </w:r>
          </w:p>
        </w:tc>
        <w:tc>
          <w:tcPr>
            <w:tcW w:w="1348" w:type="dxa"/>
            <w:tcBorders>
              <w:top w:val="nil"/>
              <w:left w:val="single" w:sz="4" w:space="0" w:color="333399"/>
              <w:bottom w:val="single" w:sz="4" w:space="0" w:color="333399"/>
              <w:right w:val="single" w:sz="4" w:space="0" w:color="333399"/>
            </w:tcBorders>
            <w:shd w:val="clear" w:color="auto" w:fill="auto"/>
            <w:noWrap/>
            <w:vAlign w:val="center"/>
          </w:tcPr>
          <w:p w14:paraId="1C175138" w14:textId="6B16092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459</w:t>
            </w:r>
          </w:p>
        </w:tc>
        <w:tc>
          <w:tcPr>
            <w:tcW w:w="2252" w:type="dxa"/>
            <w:tcBorders>
              <w:top w:val="nil"/>
              <w:left w:val="nil"/>
              <w:bottom w:val="single" w:sz="4" w:space="0" w:color="333399"/>
              <w:right w:val="single" w:sz="4" w:space="0" w:color="333399"/>
            </w:tcBorders>
            <w:shd w:val="clear" w:color="auto" w:fill="auto"/>
            <w:noWrap/>
            <w:vAlign w:val="center"/>
          </w:tcPr>
          <w:p w14:paraId="459382B9" w14:textId="684CFC6C"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31.790.733.555</w:t>
            </w:r>
          </w:p>
        </w:tc>
        <w:tc>
          <w:tcPr>
            <w:tcW w:w="1562" w:type="dxa"/>
            <w:tcBorders>
              <w:top w:val="nil"/>
              <w:left w:val="nil"/>
              <w:bottom w:val="single" w:sz="4" w:space="0" w:color="333399"/>
              <w:right w:val="single" w:sz="4" w:space="0" w:color="333399"/>
            </w:tcBorders>
            <w:shd w:val="clear" w:color="auto" w:fill="auto"/>
            <w:vAlign w:val="center"/>
          </w:tcPr>
          <w:p w14:paraId="470AC195" w14:textId="06EAB7F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456.981.664.744</w:t>
            </w:r>
          </w:p>
        </w:tc>
        <w:tc>
          <w:tcPr>
            <w:tcW w:w="2242" w:type="dxa"/>
            <w:tcBorders>
              <w:top w:val="nil"/>
              <w:left w:val="nil"/>
              <w:bottom w:val="single" w:sz="4" w:space="0" w:color="333399"/>
              <w:right w:val="single" w:sz="8" w:space="0" w:color="auto"/>
            </w:tcBorders>
            <w:shd w:val="clear" w:color="auto" w:fill="auto"/>
            <w:noWrap/>
            <w:vAlign w:val="center"/>
          </w:tcPr>
          <w:p w14:paraId="02B14AD2" w14:textId="2FAFDDBF"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69.260.857</w:t>
            </w:r>
          </w:p>
        </w:tc>
      </w:tr>
      <w:tr w:rsidR="008E5AB9" w:rsidRPr="008E5AB9" w14:paraId="5960C82F"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tcPr>
          <w:p w14:paraId="41DCADD0"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2022</w:t>
            </w:r>
          </w:p>
        </w:tc>
        <w:tc>
          <w:tcPr>
            <w:tcW w:w="1348" w:type="dxa"/>
            <w:tcBorders>
              <w:top w:val="nil"/>
              <w:left w:val="single" w:sz="4" w:space="0" w:color="333399"/>
              <w:bottom w:val="single" w:sz="4" w:space="0" w:color="333399"/>
              <w:right w:val="single" w:sz="4" w:space="0" w:color="333399"/>
            </w:tcBorders>
            <w:shd w:val="clear" w:color="auto" w:fill="auto"/>
            <w:noWrap/>
            <w:vAlign w:val="center"/>
          </w:tcPr>
          <w:p w14:paraId="4A04E90B" w14:textId="4AC4837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513</w:t>
            </w:r>
          </w:p>
        </w:tc>
        <w:tc>
          <w:tcPr>
            <w:tcW w:w="2252" w:type="dxa"/>
            <w:tcBorders>
              <w:top w:val="nil"/>
              <w:left w:val="nil"/>
              <w:bottom w:val="single" w:sz="4" w:space="0" w:color="333399"/>
              <w:right w:val="single" w:sz="4" w:space="0" w:color="333399"/>
            </w:tcBorders>
            <w:shd w:val="clear" w:color="auto" w:fill="auto"/>
            <w:noWrap/>
            <w:vAlign w:val="center"/>
          </w:tcPr>
          <w:p w14:paraId="396D14BA" w14:textId="0C7E0C3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20.138.392.530</w:t>
            </w:r>
          </w:p>
        </w:tc>
        <w:tc>
          <w:tcPr>
            <w:tcW w:w="1562" w:type="dxa"/>
            <w:tcBorders>
              <w:top w:val="nil"/>
              <w:left w:val="nil"/>
              <w:bottom w:val="single" w:sz="4" w:space="0" w:color="333399"/>
              <w:right w:val="single" w:sz="4" w:space="0" w:color="333399"/>
            </w:tcBorders>
            <w:shd w:val="clear" w:color="auto" w:fill="auto"/>
            <w:vAlign w:val="center"/>
          </w:tcPr>
          <w:p w14:paraId="28C0F339" w14:textId="3F2AC59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477.120.057.274</w:t>
            </w:r>
          </w:p>
        </w:tc>
        <w:tc>
          <w:tcPr>
            <w:tcW w:w="2242" w:type="dxa"/>
            <w:tcBorders>
              <w:top w:val="nil"/>
              <w:left w:val="nil"/>
              <w:bottom w:val="single" w:sz="4" w:space="0" w:color="333399"/>
              <w:right w:val="single" w:sz="8" w:space="0" w:color="auto"/>
            </w:tcBorders>
            <w:shd w:val="clear" w:color="auto" w:fill="auto"/>
            <w:noWrap/>
            <w:vAlign w:val="center"/>
          </w:tcPr>
          <w:p w14:paraId="0D3F8868" w14:textId="3DA2E22A"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39.256.126</w:t>
            </w:r>
          </w:p>
        </w:tc>
      </w:tr>
      <w:tr w:rsidR="008E5AB9" w:rsidRPr="008E5AB9" w14:paraId="47ADF728"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noWrap/>
          </w:tcPr>
          <w:p w14:paraId="70EC9B12"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2023</w:t>
            </w:r>
          </w:p>
        </w:tc>
        <w:tc>
          <w:tcPr>
            <w:tcW w:w="1348" w:type="dxa"/>
            <w:tcBorders>
              <w:top w:val="nil"/>
              <w:left w:val="single" w:sz="4" w:space="0" w:color="333399"/>
              <w:bottom w:val="single" w:sz="4" w:space="0" w:color="333399"/>
              <w:right w:val="single" w:sz="4" w:space="0" w:color="333399"/>
            </w:tcBorders>
            <w:shd w:val="clear" w:color="auto" w:fill="auto"/>
            <w:noWrap/>
            <w:vAlign w:val="center"/>
          </w:tcPr>
          <w:p w14:paraId="4006063D" w14:textId="099A124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445</w:t>
            </w:r>
          </w:p>
        </w:tc>
        <w:tc>
          <w:tcPr>
            <w:tcW w:w="2252" w:type="dxa"/>
            <w:tcBorders>
              <w:top w:val="nil"/>
              <w:left w:val="nil"/>
              <w:bottom w:val="single" w:sz="4" w:space="0" w:color="333399"/>
              <w:right w:val="single" w:sz="4" w:space="0" w:color="333399"/>
            </w:tcBorders>
            <w:shd w:val="clear" w:color="auto" w:fill="auto"/>
            <w:noWrap/>
            <w:vAlign w:val="center"/>
          </w:tcPr>
          <w:p w14:paraId="422A2003" w14:textId="22B20F3D"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28.584.998.004</w:t>
            </w:r>
          </w:p>
        </w:tc>
        <w:tc>
          <w:tcPr>
            <w:tcW w:w="1562" w:type="dxa"/>
            <w:tcBorders>
              <w:top w:val="nil"/>
              <w:left w:val="nil"/>
              <w:bottom w:val="single" w:sz="4" w:space="0" w:color="333399"/>
              <w:right w:val="single" w:sz="4" w:space="0" w:color="333399"/>
            </w:tcBorders>
            <w:shd w:val="clear" w:color="auto" w:fill="auto"/>
            <w:vAlign w:val="center"/>
          </w:tcPr>
          <w:p w14:paraId="651AE25D" w14:textId="15940D3B"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505.705.055.278</w:t>
            </w:r>
          </w:p>
        </w:tc>
        <w:tc>
          <w:tcPr>
            <w:tcW w:w="2242" w:type="dxa"/>
            <w:tcBorders>
              <w:top w:val="nil"/>
              <w:left w:val="nil"/>
              <w:bottom w:val="single" w:sz="4" w:space="0" w:color="333399"/>
              <w:right w:val="single" w:sz="8" w:space="0" w:color="auto"/>
            </w:tcBorders>
            <w:shd w:val="clear" w:color="auto" w:fill="auto"/>
            <w:noWrap/>
            <w:vAlign w:val="center"/>
          </w:tcPr>
          <w:p w14:paraId="536AEA5E" w14:textId="1A21A79B"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64.235.951</w:t>
            </w:r>
          </w:p>
        </w:tc>
      </w:tr>
      <w:tr w:rsidR="008E5AB9" w:rsidRPr="008E5AB9" w14:paraId="080EA505"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tcBorders>
              <w:bottom w:val="single" w:sz="4" w:space="0" w:color="auto"/>
            </w:tcBorders>
            <w:noWrap/>
          </w:tcPr>
          <w:p w14:paraId="77EF9FA8" w14:textId="77777777" w:rsidR="008E5AB9" w:rsidRPr="00D50EF8" w:rsidRDefault="008E5AB9" w:rsidP="008E5AB9">
            <w:pPr>
              <w:jc w:val="center"/>
              <w:rPr>
                <w:rFonts w:ascii="Times New Roman" w:hAnsi="Times New Roman" w:cs="Times New Roman"/>
              </w:rPr>
            </w:pPr>
            <w:r w:rsidRPr="00D50EF8">
              <w:rPr>
                <w:rFonts w:ascii="Times New Roman" w:hAnsi="Times New Roman" w:cs="Times New Roman"/>
              </w:rPr>
              <w:t>2024</w:t>
            </w:r>
          </w:p>
        </w:tc>
        <w:tc>
          <w:tcPr>
            <w:tcW w:w="1348" w:type="dxa"/>
            <w:tcBorders>
              <w:top w:val="nil"/>
              <w:left w:val="single" w:sz="4" w:space="0" w:color="333399"/>
              <w:bottom w:val="single" w:sz="4" w:space="0" w:color="auto"/>
              <w:right w:val="single" w:sz="4" w:space="0" w:color="333399"/>
            </w:tcBorders>
            <w:shd w:val="clear" w:color="auto" w:fill="auto"/>
            <w:noWrap/>
            <w:vAlign w:val="center"/>
          </w:tcPr>
          <w:p w14:paraId="3ECCDFF9" w14:textId="46057BB0"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371</w:t>
            </w:r>
          </w:p>
        </w:tc>
        <w:tc>
          <w:tcPr>
            <w:tcW w:w="2252" w:type="dxa"/>
            <w:tcBorders>
              <w:top w:val="nil"/>
              <w:left w:val="nil"/>
              <w:bottom w:val="single" w:sz="4" w:space="0" w:color="auto"/>
              <w:right w:val="single" w:sz="4" w:space="0" w:color="333399"/>
            </w:tcBorders>
            <w:shd w:val="clear" w:color="auto" w:fill="auto"/>
            <w:noWrap/>
            <w:vAlign w:val="center"/>
          </w:tcPr>
          <w:p w14:paraId="54B93BAE" w14:textId="13B8461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30.181.617.805</w:t>
            </w:r>
          </w:p>
        </w:tc>
        <w:tc>
          <w:tcPr>
            <w:tcW w:w="1562" w:type="dxa"/>
            <w:tcBorders>
              <w:top w:val="nil"/>
              <w:left w:val="nil"/>
              <w:bottom w:val="single" w:sz="4" w:space="0" w:color="auto"/>
              <w:right w:val="single" w:sz="4" w:space="0" w:color="333399"/>
            </w:tcBorders>
            <w:shd w:val="clear" w:color="auto" w:fill="auto"/>
            <w:vAlign w:val="center"/>
          </w:tcPr>
          <w:p w14:paraId="61337573" w14:textId="1AD8F688"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535.886.673.083</w:t>
            </w:r>
          </w:p>
        </w:tc>
        <w:tc>
          <w:tcPr>
            <w:tcW w:w="2242" w:type="dxa"/>
            <w:tcBorders>
              <w:top w:val="nil"/>
              <w:left w:val="nil"/>
              <w:bottom w:val="single" w:sz="4" w:space="0" w:color="auto"/>
              <w:right w:val="single" w:sz="8" w:space="0" w:color="auto"/>
            </w:tcBorders>
            <w:shd w:val="clear" w:color="auto" w:fill="auto"/>
            <w:noWrap/>
            <w:vAlign w:val="center"/>
          </w:tcPr>
          <w:p w14:paraId="0E2DA48E" w14:textId="2C24CE23"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81.352.070</w:t>
            </w:r>
          </w:p>
        </w:tc>
      </w:tr>
      <w:tr w:rsidR="008E5AB9" w:rsidRPr="008E5AB9" w14:paraId="3B8BEE11"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auto"/>
              <w:bottom w:val="single" w:sz="4" w:space="0" w:color="auto"/>
              <w:right w:val="single" w:sz="4" w:space="0" w:color="auto"/>
            </w:tcBorders>
            <w:noWrap/>
          </w:tcPr>
          <w:p w14:paraId="34DD6498" w14:textId="77777777" w:rsidR="008E5AB9" w:rsidRPr="00D50EF8" w:rsidRDefault="008E5AB9" w:rsidP="008E5AB9">
            <w:pPr>
              <w:jc w:val="center"/>
              <w:rPr>
                <w:rFonts w:ascii="Times New Roman" w:hAnsi="Times New Roman" w:cs="Times New Roman"/>
              </w:rPr>
            </w:pPr>
            <w:r>
              <w:rPr>
                <w:rFonts w:ascii="Times New Roman" w:hAnsi="Times New Roman" w:cs="Times New Roman"/>
              </w:rPr>
              <w:t>2025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E267" w14:textId="23583C44"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59</w:t>
            </w:r>
          </w:p>
        </w:tc>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25253" w14:textId="02F1CDD1"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4.095.917.065</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FDD09E1" w14:textId="479E2307"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539.982.590.149</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0BA68" w14:textId="1618F81D" w:rsidR="008E5AB9" w:rsidRPr="008E5AB9" w:rsidRDefault="008E5AB9" w:rsidP="008E5AB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E5AB9">
              <w:rPr>
                <w:rFonts w:ascii="Times New Roman" w:hAnsi="Times New Roman" w:cs="Times New Roman"/>
              </w:rPr>
              <w:t>69.422.323</w:t>
            </w:r>
          </w:p>
        </w:tc>
      </w:tr>
      <w:tr w:rsidR="008625C1" w:rsidRPr="008E5AB9" w14:paraId="115367F2" w14:textId="77777777" w:rsidTr="008625C1">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auto"/>
              <w:bottom w:val="single" w:sz="4" w:space="0" w:color="auto"/>
              <w:right w:val="single" w:sz="4" w:space="0" w:color="auto"/>
            </w:tcBorders>
            <w:noWrap/>
          </w:tcPr>
          <w:p w14:paraId="5AD59855" w14:textId="55EF0073" w:rsidR="008625C1" w:rsidRPr="008625C1" w:rsidRDefault="008625C1" w:rsidP="008625C1">
            <w:pPr>
              <w:jc w:val="center"/>
              <w:rPr>
                <w:rFonts w:ascii="Times New Roman" w:hAnsi="Times New Roman" w:cs="Times New Roman"/>
              </w:rPr>
            </w:pPr>
            <w:r w:rsidRPr="008625C1">
              <w:rPr>
                <w:rFonts w:ascii="Times New Roman" w:hAnsi="Times New Roman" w:cs="Times New Roman"/>
              </w:rPr>
              <w:t>TOPLAM</w:t>
            </w:r>
            <w:r w:rsidRPr="008625C1">
              <w:rPr>
                <w:rFonts w:ascii="Times New Roman" w:hAnsi="Times New Roman" w:cs="Times New Roman"/>
              </w:rPr>
              <w:tab/>
              <w:t>12.585</w:t>
            </w:r>
            <w:r w:rsidRPr="008625C1">
              <w:rPr>
                <w:rFonts w:ascii="Times New Roman" w:hAnsi="Times New Roman" w:cs="Times New Roman"/>
              </w:rPr>
              <w:tab/>
              <w:t>539.982.590.149</w:t>
            </w:r>
            <w:r w:rsidRPr="008625C1">
              <w:rPr>
                <w:rFonts w:ascii="Times New Roman" w:hAnsi="Times New Roman" w:cs="Times New Roman"/>
              </w:rPr>
              <w:tab/>
            </w:r>
            <w:r w:rsidRPr="008625C1">
              <w:rPr>
                <w:rFonts w:ascii="Times New Roman" w:hAnsi="Times New Roman" w:cs="Times New Roman"/>
              </w:rPr>
              <w:tab/>
            </w:r>
          </w:p>
        </w:tc>
        <w:tc>
          <w:tcPr>
            <w:tcW w:w="1348" w:type="dxa"/>
            <w:tcBorders>
              <w:top w:val="single" w:sz="4" w:space="0" w:color="333399"/>
              <w:left w:val="single" w:sz="4" w:space="0" w:color="333399"/>
              <w:bottom w:val="single" w:sz="8" w:space="0" w:color="auto"/>
              <w:right w:val="single" w:sz="4" w:space="0" w:color="333399"/>
            </w:tcBorders>
            <w:shd w:val="clear" w:color="auto" w:fill="auto"/>
            <w:noWrap/>
            <w:vAlign w:val="center"/>
          </w:tcPr>
          <w:p w14:paraId="4F41CB45" w14:textId="6EE2653F" w:rsidR="008625C1" w:rsidRPr="008625C1"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625C1">
              <w:rPr>
                <w:rFonts w:ascii="Times New Roman" w:hAnsi="Times New Roman" w:cs="Times New Roman"/>
                <w:b/>
                <w:bCs/>
              </w:rPr>
              <w:t>12.585</w:t>
            </w:r>
          </w:p>
        </w:tc>
        <w:tc>
          <w:tcPr>
            <w:tcW w:w="2252" w:type="dxa"/>
            <w:tcBorders>
              <w:top w:val="single" w:sz="4" w:space="0" w:color="333399"/>
              <w:left w:val="nil"/>
              <w:bottom w:val="single" w:sz="8" w:space="0" w:color="auto"/>
              <w:right w:val="single" w:sz="4" w:space="0" w:color="333399"/>
            </w:tcBorders>
            <w:shd w:val="clear" w:color="auto" w:fill="auto"/>
            <w:noWrap/>
            <w:vAlign w:val="center"/>
          </w:tcPr>
          <w:p w14:paraId="2A200077" w14:textId="7E5326A8" w:rsidR="008625C1" w:rsidRPr="008625C1"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625C1">
              <w:rPr>
                <w:rFonts w:ascii="Times New Roman" w:hAnsi="Times New Roman" w:cs="Times New Roman"/>
                <w:b/>
                <w:bCs/>
              </w:rPr>
              <w:t>539.982.590.149</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28BEAC60" w14:textId="77777777" w:rsidR="008625C1" w:rsidRPr="008625C1"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79BDE" w14:textId="77777777" w:rsidR="008625C1" w:rsidRPr="008625C1" w:rsidRDefault="008625C1" w:rsidP="00862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bl>
    <w:p w14:paraId="56CB4040" w14:textId="77777777" w:rsidR="00BB5CFD" w:rsidRDefault="00BB5CFD" w:rsidP="00BB5CFD">
      <w:pPr>
        <w:spacing w:after="0" w:line="240" w:lineRule="auto"/>
        <w:jc w:val="both"/>
        <w:rPr>
          <w:rFonts w:ascii="Times New Roman" w:hAnsi="Times New Roman" w:cs="Times New Roman"/>
          <w:color w:val="000000" w:themeColor="text1"/>
          <w:sz w:val="24"/>
          <w:szCs w:val="24"/>
        </w:rPr>
      </w:pPr>
    </w:p>
    <w:p w14:paraId="7FADECDF" w14:textId="77777777" w:rsidR="008625C1" w:rsidRDefault="008625C1" w:rsidP="00BB5CFD">
      <w:pPr>
        <w:spacing w:after="0" w:line="240" w:lineRule="auto"/>
        <w:jc w:val="both"/>
        <w:rPr>
          <w:rFonts w:ascii="Times New Roman" w:hAnsi="Times New Roman" w:cs="Times New Roman"/>
          <w:color w:val="000000" w:themeColor="text1"/>
          <w:sz w:val="24"/>
          <w:szCs w:val="24"/>
        </w:rPr>
      </w:pPr>
    </w:p>
    <w:p w14:paraId="4E6CB6C9" w14:textId="2069389F" w:rsidR="002F2CDD"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lastRenderedPageBreak/>
        <w:t>2000’li yılların başında o</w:t>
      </w:r>
      <w:r w:rsidR="00781EED">
        <w:rPr>
          <w:rFonts w:ascii="Times New Roman" w:hAnsi="Times New Roman" w:cs="Times New Roman"/>
          <w:color w:val="000000" w:themeColor="text1"/>
          <w:sz w:val="24"/>
          <w:szCs w:val="24"/>
        </w:rPr>
        <w:t>rtalama proje bedeli yaklaşık 21</w:t>
      </w:r>
      <w:r w:rsidRPr="00957299">
        <w:rPr>
          <w:rFonts w:ascii="Times New Roman" w:hAnsi="Times New Roman" w:cs="Times New Roman"/>
          <w:color w:val="000000" w:themeColor="text1"/>
          <w:sz w:val="24"/>
          <w:szCs w:val="24"/>
        </w:rPr>
        <w:t xml:space="preserve"> milyon dolar iken, </w:t>
      </w:r>
      <w:r w:rsidR="005F1E61" w:rsidRPr="00957299">
        <w:rPr>
          <w:rFonts w:ascii="Times New Roman" w:hAnsi="Times New Roman" w:cs="Times New Roman"/>
          <w:color w:val="000000" w:themeColor="text1"/>
          <w:sz w:val="24"/>
          <w:szCs w:val="24"/>
        </w:rPr>
        <w:t xml:space="preserve">2015 yılında </w:t>
      </w:r>
      <w:r w:rsidR="0099462D" w:rsidRPr="00957299">
        <w:rPr>
          <w:rFonts w:ascii="Times New Roman" w:hAnsi="Times New Roman" w:cs="Times New Roman"/>
          <w:color w:val="000000" w:themeColor="text1"/>
          <w:sz w:val="24"/>
          <w:szCs w:val="24"/>
        </w:rPr>
        <w:t>8</w:t>
      </w:r>
      <w:r w:rsidR="00127626">
        <w:rPr>
          <w:rFonts w:ascii="Times New Roman" w:hAnsi="Times New Roman" w:cs="Times New Roman"/>
          <w:color w:val="000000" w:themeColor="text1"/>
          <w:sz w:val="24"/>
          <w:szCs w:val="24"/>
        </w:rPr>
        <w:t>4</w:t>
      </w:r>
      <w:r w:rsidR="005F1E61" w:rsidRPr="00957299">
        <w:rPr>
          <w:rFonts w:ascii="Times New Roman" w:hAnsi="Times New Roman" w:cs="Times New Roman"/>
          <w:color w:val="000000" w:themeColor="text1"/>
          <w:sz w:val="24"/>
          <w:szCs w:val="24"/>
        </w:rPr>
        <w:t xml:space="preserve"> milyon dolar ortalama proje bedeli</w:t>
      </w:r>
      <w:r w:rsidR="00D53186" w:rsidRPr="00957299">
        <w:rPr>
          <w:rFonts w:ascii="Times New Roman" w:hAnsi="Times New Roman" w:cs="Times New Roman"/>
          <w:color w:val="000000" w:themeColor="text1"/>
          <w:sz w:val="24"/>
          <w:szCs w:val="24"/>
        </w:rPr>
        <w:t xml:space="preserve">yle </w:t>
      </w:r>
      <w:r w:rsidR="00A205A8">
        <w:rPr>
          <w:rFonts w:ascii="Times New Roman" w:hAnsi="Times New Roman" w:cs="Times New Roman"/>
          <w:color w:val="000000" w:themeColor="text1"/>
          <w:sz w:val="24"/>
          <w:szCs w:val="24"/>
        </w:rPr>
        <w:t>en yüksek seviyesine ulaşmıştır</w:t>
      </w:r>
      <w:r w:rsidR="00D53186" w:rsidRPr="00957299">
        <w:rPr>
          <w:rFonts w:ascii="Times New Roman" w:hAnsi="Times New Roman" w:cs="Times New Roman"/>
          <w:color w:val="000000" w:themeColor="text1"/>
          <w:sz w:val="24"/>
          <w:szCs w:val="24"/>
        </w:rPr>
        <w:t>.</w:t>
      </w:r>
      <w:r w:rsidR="00E01D8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Son dönemde firmalarımızın birçok ülkede küçük çaplı projeleri de üstlenmeleri nedeniyle proje sayısı artarken ortalama proje bedelinde yıllar itibariyle dalgalanmalar görülebilmektedir. </w:t>
      </w:r>
    </w:p>
    <w:p w14:paraId="3BAD1E34" w14:textId="1766A89D" w:rsidR="00A205A8" w:rsidRDefault="00EE66A8"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004829">
        <w:rPr>
          <w:rFonts w:ascii="Times New Roman" w:hAnsi="Times New Roman" w:cs="Times New Roman"/>
          <w:color w:val="000000" w:themeColor="text1"/>
          <w:sz w:val="24"/>
          <w:szCs w:val="24"/>
        </w:rPr>
        <w:t>1</w:t>
      </w:r>
      <w:r w:rsidR="00002AE9" w:rsidRPr="00957299">
        <w:rPr>
          <w:rFonts w:ascii="Times New Roman" w:hAnsi="Times New Roman" w:cs="Times New Roman"/>
          <w:color w:val="000000" w:themeColor="text1"/>
          <w:sz w:val="24"/>
          <w:szCs w:val="24"/>
        </w:rPr>
        <w:t xml:space="preserve"> yılı</w:t>
      </w:r>
      <w:r w:rsidR="009F76EE" w:rsidRPr="00957299">
        <w:rPr>
          <w:rFonts w:ascii="Times New Roman" w:hAnsi="Times New Roman" w:cs="Times New Roman"/>
          <w:color w:val="000000" w:themeColor="text1"/>
          <w:sz w:val="24"/>
          <w:szCs w:val="24"/>
        </w:rPr>
        <w:t xml:space="preserve">nda ortalama proje </w:t>
      </w:r>
      <w:r w:rsidR="000D5E67" w:rsidRPr="00957299">
        <w:rPr>
          <w:rFonts w:ascii="Times New Roman" w:hAnsi="Times New Roman" w:cs="Times New Roman"/>
          <w:color w:val="000000" w:themeColor="text1"/>
          <w:sz w:val="24"/>
          <w:szCs w:val="24"/>
        </w:rPr>
        <w:t>bedeli</w:t>
      </w:r>
      <w:r w:rsidR="00365D5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üstlenilen 2 büyük proje nedeniyle </w:t>
      </w:r>
      <w:r w:rsidR="00CE5374">
        <w:rPr>
          <w:rFonts w:ascii="Times New Roman" w:hAnsi="Times New Roman" w:cs="Times New Roman"/>
          <w:color w:val="000000" w:themeColor="text1"/>
          <w:sz w:val="24"/>
          <w:szCs w:val="24"/>
        </w:rPr>
        <w:t>6</w:t>
      </w:r>
      <w:r w:rsidR="00BB7703">
        <w:rPr>
          <w:rFonts w:ascii="Times New Roman" w:hAnsi="Times New Roman" w:cs="Times New Roman"/>
          <w:color w:val="000000" w:themeColor="text1"/>
          <w:sz w:val="24"/>
          <w:szCs w:val="24"/>
        </w:rPr>
        <w:t>9</w:t>
      </w:r>
      <w:r w:rsidR="00004829">
        <w:rPr>
          <w:rFonts w:ascii="Times New Roman" w:hAnsi="Times New Roman" w:cs="Times New Roman"/>
          <w:color w:val="000000" w:themeColor="text1"/>
          <w:sz w:val="24"/>
          <w:szCs w:val="24"/>
        </w:rPr>
        <w:t xml:space="preserve"> milyon dolar </w:t>
      </w:r>
      <w:r w:rsidR="004075F8">
        <w:rPr>
          <w:rFonts w:ascii="Times New Roman" w:hAnsi="Times New Roman" w:cs="Times New Roman"/>
          <w:color w:val="000000" w:themeColor="text1"/>
          <w:sz w:val="24"/>
          <w:szCs w:val="24"/>
        </w:rPr>
        <w:t>seviye</w:t>
      </w:r>
      <w:r w:rsidR="00004829">
        <w:rPr>
          <w:rFonts w:ascii="Times New Roman" w:hAnsi="Times New Roman" w:cs="Times New Roman"/>
          <w:color w:val="000000" w:themeColor="text1"/>
          <w:sz w:val="24"/>
          <w:szCs w:val="24"/>
        </w:rPr>
        <w:t xml:space="preserve">sinde </w:t>
      </w:r>
      <w:r w:rsidR="00CC041E">
        <w:rPr>
          <w:rFonts w:ascii="Times New Roman" w:hAnsi="Times New Roman" w:cs="Times New Roman"/>
          <w:color w:val="000000" w:themeColor="text1"/>
          <w:sz w:val="24"/>
          <w:szCs w:val="24"/>
        </w:rPr>
        <w:t xml:space="preserve">gerçekleşmiş iken 2022 yılında yaklaşık </w:t>
      </w:r>
      <w:r w:rsidR="00BB7703">
        <w:rPr>
          <w:rFonts w:ascii="Times New Roman" w:hAnsi="Times New Roman" w:cs="Times New Roman"/>
          <w:color w:val="000000" w:themeColor="text1"/>
          <w:sz w:val="24"/>
          <w:szCs w:val="24"/>
        </w:rPr>
        <w:t>40</w:t>
      </w:r>
      <w:r w:rsidR="005762C0">
        <w:rPr>
          <w:rFonts w:ascii="Times New Roman" w:hAnsi="Times New Roman" w:cs="Times New Roman"/>
          <w:color w:val="000000" w:themeColor="text1"/>
          <w:sz w:val="24"/>
          <w:szCs w:val="24"/>
        </w:rPr>
        <w:t xml:space="preserve"> milyon dolar, 2023 yılında da </w:t>
      </w:r>
      <w:r w:rsidR="00CE5374">
        <w:rPr>
          <w:rFonts w:ascii="Times New Roman" w:hAnsi="Times New Roman" w:cs="Times New Roman"/>
          <w:color w:val="000000" w:themeColor="text1"/>
          <w:sz w:val="24"/>
          <w:szCs w:val="24"/>
        </w:rPr>
        <w:t>6</w:t>
      </w:r>
      <w:r w:rsidR="00BB7703">
        <w:rPr>
          <w:rFonts w:ascii="Times New Roman" w:hAnsi="Times New Roman" w:cs="Times New Roman"/>
          <w:color w:val="000000" w:themeColor="text1"/>
          <w:sz w:val="24"/>
          <w:szCs w:val="24"/>
        </w:rPr>
        <w:t>4</w:t>
      </w:r>
      <w:r w:rsidR="005762C0">
        <w:rPr>
          <w:rFonts w:ascii="Times New Roman" w:hAnsi="Times New Roman" w:cs="Times New Roman"/>
          <w:color w:val="000000" w:themeColor="text1"/>
          <w:sz w:val="24"/>
          <w:szCs w:val="24"/>
        </w:rPr>
        <w:t xml:space="preserve"> milyon dolar</w:t>
      </w:r>
      <w:r w:rsidR="00EC5AD6">
        <w:rPr>
          <w:rFonts w:ascii="Times New Roman" w:hAnsi="Times New Roman" w:cs="Times New Roman"/>
          <w:color w:val="000000" w:themeColor="text1"/>
          <w:sz w:val="24"/>
          <w:szCs w:val="24"/>
        </w:rPr>
        <w:t xml:space="preserve">, </w:t>
      </w:r>
      <w:r w:rsidR="00A205A8">
        <w:rPr>
          <w:rFonts w:ascii="Times New Roman" w:hAnsi="Times New Roman" w:cs="Times New Roman"/>
          <w:color w:val="000000" w:themeColor="text1"/>
          <w:sz w:val="24"/>
          <w:szCs w:val="24"/>
        </w:rPr>
        <w:t xml:space="preserve">2024 yılında ise </w:t>
      </w:r>
      <w:r w:rsidR="006D73A5">
        <w:rPr>
          <w:rFonts w:ascii="Times New Roman" w:hAnsi="Times New Roman" w:cs="Times New Roman"/>
          <w:color w:val="000000" w:themeColor="text1"/>
          <w:sz w:val="24"/>
          <w:szCs w:val="24"/>
        </w:rPr>
        <w:t>8</w:t>
      </w:r>
      <w:r w:rsidR="00BB7703">
        <w:rPr>
          <w:rFonts w:ascii="Times New Roman" w:hAnsi="Times New Roman" w:cs="Times New Roman"/>
          <w:color w:val="000000" w:themeColor="text1"/>
          <w:sz w:val="24"/>
          <w:szCs w:val="24"/>
        </w:rPr>
        <w:t>1</w:t>
      </w:r>
      <w:r w:rsidR="00A205A8">
        <w:rPr>
          <w:rFonts w:ascii="Times New Roman" w:hAnsi="Times New Roman" w:cs="Times New Roman"/>
          <w:color w:val="000000" w:themeColor="text1"/>
          <w:sz w:val="24"/>
          <w:szCs w:val="24"/>
        </w:rPr>
        <w:t xml:space="preserve"> mi</w:t>
      </w:r>
      <w:r w:rsidR="006D73A5">
        <w:rPr>
          <w:rFonts w:ascii="Times New Roman" w:hAnsi="Times New Roman" w:cs="Times New Roman"/>
          <w:color w:val="000000" w:themeColor="text1"/>
          <w:sz w:val="24"/>
          <w:szCs w:val="24"/>
        </w:rPr>
        <w:t>lyon</w:t>
      </w:r>
      <w:r w:rsidR="00A205A8">
        <w:rPr>
          <w:rFonts w:ascii="Times New Roman" w:hAnsi="Times New Roman" w:cs="Times New Roman"/>
          <w:color w:val="000000" w:themeColor="text1"/>
          <w:sz w:val="24"/>
          <w:szCs w:val="24"/>
        </w:rPr>
        <w:t xml:space="preserve"> dolar</w:t>
      </w:r>
      <w:r w:rsidR="006D73A5">
        <w:rPr>
          <w:rFonts w:ascii="Times New Roman" w:hAnsi="Times New Roman" w:cs="Times New Roman"/>
          <w:color w:val="000000" w:themeColor="text1"/>
          <w:sz w:val="24"/>
          <w:szCs w:val="24"/>
        </w:rPr>
        <w:t>ın üzerine çık</w:t>
      </w:r>
      <w:r w:rsidR="00BB7703">
        <w:rPr>
          <w:rFonts w:ascii="Times New Roman" w:hAnsi="Times New Roman" w:cs="Times New Roman"/>
          <w:color w:val="000000" w:themeColor="text1"/>
          <w:sz w:val="24"/>
          <w:szCs w:val="24"/>
        </w:rPr>
        <w:t>mıştır.</w:t>
      </w:r>
    </w:p>
    <w:p w14:paraId="7B6C7AEB" w14:textId="77777777" w:rsidR="00FE5A22" w:rsidRDefault="00FE5A22" w:rsidP="00BB5CFD">
      <w:pPr>
        <w:spacing w:after="0" w:line="240" w:lineRule="auto"/>
        <w:jc w:val="both"/>
        <w:rPr>
          <w:rFonts w:ascii="Times New Roman" w:hAnsi="Times New Roman" w:cs="Times New Roman"/>
          <w:color w:val="000000" w:themeColor="text1"/>
          <w:sz w:val="24"/>
          <w:szCs w:val="24"/>
        </w:rPr>
      </w:pPr>
    </w:p>
    <w:p w14:paraId="0BB474E6" w14:textId="77777777" w:rsidR="00FD57E7" w:rsidRPr="00BB5CFD" w:rsidRDefault="00DC0C02" w:rsidP="00BB5CFD">
      <w:pPr>
        <w:pStyle w:val="ListeParagraf"/>
        <w:numPr>
          <w:ilvl w:val="0"/>
          <w:numId w:val="2"/>
        </w:numPr>
        <w:spacing w:after="0" w:line="240" w:lineRule="auto"/>
        <w:rPr>
          <w:rFonts w:ascii="Times New Roman" w:hAnsi="Times New Roman" w:cs="Times New Roman"/>
          <w:b/>
          <w:sz w:val="24"/>
          <w:szCs w:val="24"/>
        </w:rPr>
      </w:pPr>
      <w:r w:rsidRPr="00BB5CFD">
        <w:rPr>
          <w:rFonts w:ascii="Times New Roman" w:hAnsi="Times New Roman" w:cs="Times New Roman"/>
          <w:b/>
          <w:sz w:val="24"/>
          <w:szCs w:val="24"/>
        </w:rPr>
        <w:t>BÖLGESEL DAĞILIM</w:t>
      </w:r>
    </w:p>
    <w:p w14:paraId="24F541D8" w14:textId="77777777" w:rsidR="00BB5CFD" w:rsidRPr="00BB5CFD" w:rsidRDefault="00BB5CFD" w:rsidP="00BB5CFD">
      <w:pPr>
        <w:spacing w:after="0" w:line="240" w:lineRule="auto"/>
        <w:rPr>
          <w:rFonts w:ascii="Times New Roman" w:hAnsi="Times New Roman" w:cs="Times New Roman"/>
          <w:b/>
          <w:sz w:val="24"/>
          <w:szCs w:val="24"/>
        </w:rPr>
      </w:pPr>
    </w:p>
    <w:p w14:paraId="6FEBCE56" w14:textId="7223A165" w:rsidR="00FD57E7"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Türk müteahhitleri, hâlihazırda özellikle Bağımsız Devletler Topluluğunda, daha sonra Orta Doğu ve Afrika’da büyük projelere başarıyla imza atmaktadır. </w:t>
      </w:r>
      <w:r w:rsidR="00C37C1B" w:rsidRPr="00FD57E7">
        <w:rPr>
          <w:rFonts w:ascii="Times New Roman" w:hAnsi="Times New Roman" w:cs="Times New Roman"/>
          <w:sz w:val="24"/>
          <w:szCs w:val="24"/>
        </w:rPr>
        <w:t xml:space="preserve">Bugüne </w:t>
      </w:r>
      <w:r w:rsidR="009F76EE">
        <w:rPr>
          <w:rFonts w:ascii="Times New Roman" w:hAnsi="Times New Roman" w:cs="Times New Roman"/>
          <w:sz w:val="24"/>
          <w:szCs w:val="24"/>
        </w:rPr>
        <w:t xml:space="preserve">kadar üstlenilen projelerin </w:t>
      </w:r>
      <w:r w:rsidR="00C37C1B">
        <w:rPr>
          <w:rFonts w:ascii="Times New Roman" w:hAnsi="Times New Roman" w:cs="Times New Roman"/>
          <w:sz w:val="24"/>
          <w:szCs w:val="24"/>
        </w:rPr>
        <w:t>bölgesel dağılımı</w:t>
      </w:r>
      <w:r w:rsidR="001B1F8D">
        <w:rPr>
          <w:rFonts w:ascii="Times New Roman" w:hAnsi="Times New Roman" w:cs="Times New Roman"/>
          <w:sz w:val="24"/>
          <w:szCs w:val="24"/>
        </w:rPr>
        <w:t xml:space="preserve"> yaklaşık</w:t>
      </w:r>
      <w:r w:rsidR="00C37C1B">
        <w:rPr>
          <w:rFonts w:ascii="Times New Roman" w:hAnsi="Times New Roman" w:cs="Times New Roman"/>
          <w:sz w:val="24"/>
          <w:szCs w:val="24"/>
        </w:rPr>
        <w:t xml:space="preserve">; </w:t>
      </w:r>
      <w:r w:rsidR="003D25A7" w:rsidRPr="00B06670">
        <w:rPr>
          <w:rFonts w:ascii="Times New Roman" w:hAnsi="Times New Roman" w:cs="Times New Roman"/>
          <w:sz w:val="24"/>
          <w:szCs w:val="24"/>
        </w:rPr>
        <w:t xml:space="preserve">BDT </w:t>
      </w:r>
      <w:r w:rsidR="00437393" w:rsidRPr="00B06670">
        <w:rPr>
          <w:rFonts w:ascii="Times New Roman" w:hAnsi="Times New Roman" w:cs="Times New Roman"/>
          <w:sz w:val="24"/>
          <w:szCs w:val="24"/>
        </w:rPr>
        <w:t>%</w:t>
      </w:r>
      <w:r w:rsidR="00437393">
        <w:rPr>
          <w:rFonts w:ascii="Times New Roman" w:hAnsi="Times New Roman" w:cs="Times New Roman"/>
          <w:sz w:val="24"/>
          <w:szCs w:val="24"/>
        </w:rPr>
        <w:t>4</w:t>
      </w:r>
      <w:r w:rsidR="000E306B">
        <w:rPr>
          <w:rFonts w:ascii="Times New Roman" w:hAnsi="Times New Roman" w:cs="Times New Roman"/>
          <w:sz w:val="24"/>
          <w:szCs w:val="24"/>
        </w:rPr>
        <w:t>3,</w:t>
      </w:r>
      <w:r w:rsidR="0096099B">
        <w:rPr>
          <w:rFonts w:ascii="Times New Roman" w:hAnsi="Times New Roman" w:cs="Times New Roman"/>
          <w:sz w:val="24"/>
          <w:szCs w:val="24"/>
        </w:rPr>
        <w:t>5</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A84E83">
        <w:rPr>
          <w:rFonts w:ascii="Times New Roman" w:hAnsi="Times New Roman" w:cs="Times New Roman"/>
          <w:sz w:val="24"/>
          <w:szCs w:val="24"/>
        </w:rPr>
        <w:t>2</w:t>
      </w:r>
      <w:r w:rsidR="00C7692A">
        <w:rPr>
          <w:rFonts w:ascii="Times New Roman" w:hAnsi="Times New Roman" w:cs="Times New Roman"/>
          <w:sz w:val="24"/>
          <w:szCs w:val="24"/>
        </w:rPr>
        <w:t>3</w:t>
      </w:r>
      <w:r w:rsidR="0096099B">
        <w:rPr>
          <w:rFonts w:ascii="Times New Roman" w:hAnsi="Times New Roman" w:cs="Times New Roman"/>
          <w:sz w:val="24"/>
          <w:szCs w:val="24"/>
        </w:rPr>
        <w:t>4,8</w:t>
      </w:r>
      <w:r w:rsidR="00C37C1B" w:rsidRPr="00B06670">
        <w:rPr>
          <w:rFonts w:ascii="Times New Roman" w:hAnsi="Times New Roman" w:cs="Times New Roman"/>
          <w:sz w:val="24"/>
          <w:szCs w:val="24"/>
        </w:rPr>
        <w:t xml:space="preserve"> milyar dolar), Ortadoğu %2</w:t>
      </w:r>
      <w:r w:rsidR="000E306B">
        <w:rPr>
          <w:rFonts w:ascii="Times New Roman" w:hAnsi="Times New Roman" w:cs="Times New Roman"/>
          <w:sz w:val="24"/>
          <w:szCs w:val="24"/>
        </w:rPr>
        <w:t>5,</w:t>
      </w:r>
      <w:r w:rsidR="0096099B">
        <w:rPr>
          <w:rFonts w:ascii="Times New Roman" w:hAnsi="Times New Roman" w:cs="Times New Roman"/>
          <w:sz w:val="24"/>
          <w:szCs w:val="24"/>
        </w:rPr>
        <w:t>3</w:t>
      </w:r>
      <w:r w:rsidR="003D25A7" w:rsidRPr="00B06670">
        <w:rPr>
          <w:rFonts w:ascii="Times New Roman" w:hAnsi="Times New Roman" w:cs="Times New Roman"/>
          <w:sz w:val="24"/>
          <w:szCs w:val="24"/>
        </w:rPr>
        <w:t xml:space="preserve"> (</w:t>
      </w:r>
      <w:r w:rsidR="0005199F">
        <w:rPr>
          <w:rFonts w:ascii="Times New Roman" w:hAnsi="Times New Roman" w:cs="Times New Roman"/>
          <w:sz w:val="24"/>
          <w:szCs w:val="24"/>
        </w:rPr>
        <w:t>1</w:t>
      </w:r>
      <w:r w:rsidR="000E306B">
        <w:rPr>
          <w:rFonts w:ascii="Times New Roman" w:hAnsi="Times New Roman" w:cs="Times New Roman"/>
          <w:sz w:val="24"/>
          <w:szCs w:val="24"/>
        </w:rPr>
        <w:t>3</w:t>
      </w:r>
      <w:r w:rsidR="002D05DF">
        <w:rPr>
          <w:rFonts w:ascii="Times New Roman" w:hAnsi="Times New Roman" w:cs="Times New Roman"/>
          <w:sz w:val="24"/>
          <w:szCs w:val="24"/>
        </w:rPr>
        <w:t>6,</w:t>
      </w:r>
      <w:r w:rsidR="0096099B">
        <w:rPr>
          <w:rFonts w:ascii="Times New Roman" w:hAnsi="Times New Roman" w:cs="Times New Roman"/>
          <w:sz w:val="24"/>
          <w:szCs w:val="24"/>
        </w:rPr>
        <w:t>6</w:t>
      </w:r>
      <w:r w:rsidR="00C37C1B" w:rsidRPr="00B06670">
        <w:rPr>
          <w:rFonts w:ascii="Times New Roman" w:hAnsi="Times New Roman" w:cs="Times New Roman"/>
          <w:sz w:val="24"/>
          <w:szCs w:val="24"/>
        </w:rPr>
        <w:t xml:space="preserve"> milyar dolar), Afrika </w:t>
      </w:r>
      <w:r w:rsidR="00437393" w:rsidRPr="00B06670">
        <w:rPr>
          <w:rFonts w:ascii="Times New Roman" w:hAnsi="Times New Roman" w:cs="Times New Roman"/>
          <w:sz w:val="24"/>
          <w:szCs w:val="24"/>
        </w:rPr>
        <w:t>%</w:t>
      </w:r>
      <w:r w:rsidR="00004829">
        <w:rPr>
          <w:rFonts w:ascii="Times New Roman" w:hAnsi="Times New Roman" w:cs="Times New Roman"/>
          <w:sz w:val="24"/>
          <w:szCs w:val="24"/>
        </w:rPr>
        <w:t>1</w:t>
      </w:r>
      <w:r w:rsidR="001D6B5B">
        <w:rPr>
          <w:rFonts w:ascii="Times New Roman" w:hAnsi="Times New Roman" w:cs="Times New Roman"/>
          <w:sz w:val="24"/>
          <w:szCs w:val="24"/>
        </w:rPr>
        <w:t>8</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3469AB">
        <w:rPr>
          <w:rFonts w:ascii="Times New Roman" w:hAnsi="Times New Roman" w:cs="Times New Roman"/>
          <w:sz w:val="24"/>
          <w:szCs w:val="24"/>
        </w:rPr>
        <w:t>9</w:t>
      </w:r>
      <w:r w:rsidR="00C22BD2">
        <w:rPr>
          <w:rFonts w:ascii="Times New Roman" w:hAnsi="Times New Roman" w:cs="Times New Roman"/>
          <w:sz w:val="24"/>
          <w:szCs w:val="24"/>
        </w:rPr>
        <w:t>6,</w:t>
      </w:r>
      <w:r w:rsidR="002D05DF">
        <w:rPr>
          <w:rFonts w:ascii="Times New Roman" w:hAnsi="Times New Roman" w:cs="Times New Roman"/>
          <w:sz w:val="24"/>
          <w:szCs w:val="24"/>
        </w:rPr>
        <w:t>9</w:t>
      </w:r>
      <w:r w:rsidR="00C37C1B" w:rsidRPr="00B06670">
        <w:rPr>
          <w:rFonts w:ascii="Times New Roman" w:hAnsi="Times New Roman" w:cs="Times New Roman"/>
          <w:sz w:val="24"/>
          <w:szCs w:val="24"/>
        </w:rPr>
        <w:t xml:space="preserve"> milyar dolar </w:t>
      </w:r>
      <w:r w:rsidR="00365AB0">
        <w:rPr>
          <w:rFonts w:ascii="Times New Roman" w:hAnsi="Times New Roman" w:cs="Times New Roman"/>
          <w:sz w:val="24"/>
          <w:szCs w:val="24"/>
        </w:rPr>
        <w:t>–</w:t>
      </w:r>
      <w:r w:rsidR="00C37C1B" w:rsidRPr="00B06670">
        <w:rPr>
          <w:rFonts w:ascii="Times New Roman" w:hAnsi="Times New Roman" w:cs="Times New Roman"/>
          <w:sz w:val="24"/>
          <w:szCs w:val="24"/>
        </w:rPr>
        <w:t xml:space="preserve"> Sahra</w:t>
      </w:r>
      <w:r w:rsidR="00365AB0">
        <w:rPr>
          <w:rFonts w:ascii="Times New Roman" w:hAnsi="Times New Roman" w:cs="Times New Roman"/>
          <w:sz w:val="24"/>
          <w:szCs w:val="24"/>
        </w:rPr>
        <w:t>-</w:t>
      </w:r>
      <w:r w:rsidR="00C37C1B" w:rsidRPr="00B06670">
        <w:rPr>
          <w:rFonts w:ascii="Times New Roman" w:hAnsi="Times New Roman" w:cs="Times New Roman"/>
          <w:sz w:val="24"/>
          <w:szCs w:val="24"/>
        </w:rPr>
        <w:t>altı Afrika %</w:t>
      </w:r>
      <w:r w:rsidR="000605D4">
        <w:rPr>
          <w:rFonts w:ascii="Times New Roman" w:hAnsi="Times New Roman" w:cs="Times New Roman"/>
          <w:sz w:val="24"/>
          <w:szCs w:val="24"/>
        </w:rPr>
        <w:t>6</w:t>
      </w:r>
      <w:r w:rsidR="00C7692A">
        <w:rPr>
          <w:rFonts w:ascii="Times New Roman" w:hAnsi="Times New Roman" w:cs="Times New Roman"/>
          <w:sz w:val="24"/>
          <w:szCs w:val="24"/>
        </w:rPr>
        <w:t>,</w:t>
      </w:r>
      <w:r w:rsidR="001904C5">
        <w:rPr>
          <w:rFonts w:ascii="Times New Roman" w:hAnsi="Times New Roman" w:cs="Times New Roman"/>
          <w:sz w:val="24"/>
          <w:szCs w:val="24"/>
        </w:rPr>
        <w:t>8</w:t>
      </w:r>
      <w:r w:rsidR="00495742">
        <w:rPr>
          <w:rFonts w:ascii="Times New Roman" w:hAnsi="Times New Roman" w:cs="Times New Roman"/>
          <w:sz w:val="24"/>
          <w:szCs w:val="24"/>
        </w:rPr>
        <w:t>;</w:t>
      </w:r>
      <w:r w:rsidR="001D4CFD">
        <w:rPr>
          <w:rFonts w:ascii="Times New Roman" w:hAnsi="Times New Roman" w:cs="Times New Roman"/>
          <w:sz w:val="24"/>
          <w:szCs w:val="24"/>
        </w:rPr>
        <w:t xml:space="preserve"> </w:t>
      </w:r>
      <w:r w:rsidR="001D4CFD" w:rsidRPr="00B06670">
        <w:rPr>
          <w:rFonts w:ascii="Times New Roman" w:hAnsi="Times New Roman" w:cs="Times New Roman"/>
          <w:sz w:val="24"/>
          <w:szCs w:val="24"/>
        </w:rPr>
        <w:t>Kuzey</w:t>
      </w:r>
      <w:r w:rsidR="00255EA1" w:rsidRPr="00B06670">
        <w:rPr>
          <w:rFonts w:ascii="Times New Roman" w:hAnsi="Times New Roman" w:cs="Times New Roman"/>
          <w:sz w:val="24"/>
          <w:szCs w:val="24"/>
        </w:rPr>
        <w:t xml:space="preserve"> Afrika %1</w:t>
      </w:r>
      <w:r w:rsidR="00495742">
        <w:rPr>
          <w:rFonts w:ascii="Times New Roman" w:hAnsi="Times New Roman" w:cs="Times New Roman"/>
          <w:sz w:val="24"/>
          <w:szCs w:val="24"/>
        </w:rPr>
        <w:t>1</w:t>
      </w:r>
      <w:r w:rsidR="00081E7E">
        <w:rPr>
          <w:rFonts w:ascii="Times New Roman" w:hAnsi="Times New Roman" w:cs="Times New Roman"/>
          <w:sz w:val="24"/>
          <w:szCs w:val="24"/>
        </w:rPr>
        <w:t>,</w:t>
      </w:r>
      <w:r w:rsidR="0096099B">
        <w:rPr>
          <w:rFonts w:ascii="Times New Roman" w:hAnsi="Times New Roman" w:cs="Times New Roman"/>
          <w:sz w:val="24"/>
          <w:szCs w:val="24"/>
        </w:rPr>
        <w:t>2</w:t>
      </w:r>
      <w:r w:rsidR="002E204B">
        <w:rPr>
          <w:rFonts w:ascii="Times New Roman" w:hAnsi="Times New Roman" w:cs="Times New Roman"/>
          <w:sz w:val="24"/>
          <w:szCs w:val="24"/>
        </w:rPr>
        <w:t xml:space="preserve">), Avrupa </w:t>
      </w:r>
      <w:r w:rsidR="002E204B" w:rsidRPr="00B06670">
        <w:rPr>
          <w:rFonts w:ascii="Times New Roman" w:hAnsi="Times New Roman" w:cs="Times New Roman"/>
          <w:sz w:val="24"/>
          <w:szCs w:val="24"/>
        </w:rPr>
        <w:t>%</w:t>
      </w:r>
      <w:r w:rsidR="0028563A">
        <w:rPr>
          <w:rFonts w:ascii="Times New Roman" w:hAnsi="Times New Roman" w:cs="Times New Roman"/>
          <w:sz w:val="24"/>
          <w:szCs w:val="24"/>
        </w:rPr>
        <w:t>9,</w:t>
      </w:r>
      <w:r w:rsidR="0096099B">
        <w:rPr>
          <w:rFonts w:ascii="Times New Roman" w:hAnsi="Times New Roman" w:cs="Times New Roman"/>
          <w:sz w:val="24"/>
          <w:szCs w:val="24"/>
        </w:rPr>
        <w:t>8</w:t>
      </w:r>
      <w:r w:rsidR="003F19E1">
        <w:rPr>
          <w:rFonts w:ascii="Times New Roman" w:hAnsi="Times New Roman" w:cs="Times New Roman"/>
          <w:sz w:val="24"/>
          <w:szCs w:val="24"/>
        </w:rPr>
        <w:t xml:space="preserve"> (</w:t>
      </w:r>
      <w:r w:rsidR="0096099B">
        <w:rPr>
          <w:rFonts w:ascii="Times New Roman" w:hAnsi="Times New Roman" w:cs="Times New Roman"/>
          <w:sz w:val="24"/>
          <w:szCs w:val="24"/>
        </w:rPr>
        <w:t>52,7</w:t>
      </w:r>
      <w:r w:rsidR="003F19E1">
        <w:rPr>
          <w:rFonts w:ascii="Times New Roman" w:hAnsi="Times New Roman" w:cs="Times New Roman"/>
          <w:sz w:val="24"/>
          <w:szCs w:val="24"/>
        </w:rPr>
        <w:t xml:space="preserve"> milyar dolar)</w:t>
      </w:r>
      <w:r w:rsidR="002E204B">
        <w:rPr>
          <w:rFonts w:ascii="Times New Roman" w:hAnsi="Times New Roman" w:cs="Times New Roman"/>
          <w:sz w:val="24"/>
          <w:szCs w:val="24"/>
        </w:rPr>
        <w:t>,</w:t>
      </w:r>
      <w:r w:rsidR="004E3D92">
        <w:rPr>
          <w:rFonts w:ascii="Times New Roman" w:hAnsi="Times New Roman" w:cs="Times New Roman"/>
          <w:sz w:val="24"/>
          <w:szCs w:val="24"/>
        </w:rPr>
        <w:t xml:space="preserve"> Amerika </w:t>
      </w:r>
      <w:r w:rsidR="00437393">
        <w:rPr>
          <w:rFonts w:ascii="Times New Roman" w:hAnsi="Times New Roman" w:cs="Times New Roman"/>
          <w:sz w:val="24"/>
          <w:szCs w:val="24"/>
        </w:rPr>
        <w:t>%</w:t>
      </w:r>
      <w:r w:rsidR="00D357A0">
        <w:rPr>
          <w:rFonts w:ascii="Times New Roman" w:hAnsi="Times New Roman" w:cs="Times New Roman"/>
          <w:sz w:val="24"/>
          <w:szCs w:val="24"/>
        </w:rPr>
        <w:t>0,9</w:t>
      </w:r>
      <w:r w:rsidR="00192861" w:rsidRPr="00B06670">
        <w:rPr>
          <w:rFonts w:ascii="Times New Roman" w:hAnsi="Times New Roman" w:cs="Times New Roman"/>
          <w:sz w:val="24"/>
          <w:szCs w:val="24"/>
        </w:rPr>
        <w:t xml:space="preserve"> (</w:t>
      </w:r>
      <w:r w:rsidR="0008206F">
        <w:rPr>
          <w:rFonts w:ascii="Times New Roman" w:hAnsi="Times New Roman" w:cs="Times New Roman"/>
          <w:sz w:val="24"/>
          <w:szCs w:val="24"/>
        </w:rPr>
        <w:t>4,</w:t>
      </w:r>
      <w:r w:rsidR="00311617">
        <w:rPr>
          <w:rFonts w:ascii="Times New Roman" w:hAnsi="Times New Roman" w:cs="Times New Roman"/>
          <w:sz w:val="24"/>
          <w:szCs w:val="24"/>
        </w:rPr>
        <w:t>6</w:t>
      </w:r>
      <w:r w:rsidR="00C37C1B" w:rsidRPr="00B06670">
        <w:rPr>
          <w:rFonts w:ascii="Times New Roman" w:hAnsi="Times New Roman" w:cs="Times New Roman"/>
          <w:sz w:val="24"/>
          <w:szCs w:val="24"/>
        </w:rPr>
        <w:t xml:space="preserve"> milyar dolar), Asya Pasifik Bölgesi </w:t>
      </w:r>
      <w:r w:rsidR="00081E7E">
        <w:rPr>
          <w:rFonts w:ascii="Times New Roman" w:hAnsi="Times New Roman" w:cs="Times New Roman"/>
          <w:sz w:val="24"/>
          <w:szCs w:val="24"/>
        </w:rPr>
        <w:t>%</w:t>
      </w:r>
      <w:r w:rsidR="00691738">
        <w:rPr>
          <w:rFonts w:ascii="Times New Roman" w:hAnsi="Times New Roman" w:cs="Times New Roman"/>
          <w:sz w:val="24"/>
          <w:szCs w:val="24"/>
        </w:rPr>
        <w:t>2,</w:t>
      </w:r>
      <w:r w:rsidR="001D6B5B">
        <w:rPr>
          <w:rFonts w:ascii="Times New Roman" w:hAnsi="Times New Roman" w:cs="Times New Roman"/>
          <w:sz w:val="24"/>
          <w:szCs w:val="24"/>
        </w:rPr>
        <w:t>7</w:t>
      </w:r>
      <w:r w:rsidR="00F907C8">
        <w:rPr>
          <w:rFonts w:ascii="Times New Roman" w:hAnsi="Times New Roman" w:cs="Times New Roman"/>
          <w:sz w:val="24"/>
          <w:szCs w:val="24"/>
        </w:rPr>
        <w:t xml:space="preserve"> </w:t>
      </w:r>
      <w:r w:rsidR="00C37C1B" w:rsidRPr="00B06670">
        <w:rPr>
          <w:rFonts w:ascii="Times New Roman" w:hAnsi="Times New Roman" w:cs="Times New Roman"/>
          <w:sz w:val="24"/>
          <w:szCs w:val="24"/>
        </w:rPr>
        <w:t>(1</w:t>
      </w:r>
      <w:r w:rsidR="00D357A0">
        <w:rPr>
          <w:rFonts w:ascii="Times New Roman" w:hAnsi="Times New Roman" w:cs="Times New Roman"/>
          <w:sz w:val="24"/>
          <w:szCs w:val="24"/>
        </w:rPr>
        <w:t>4</w:t>
      </w:r>
      <w:r w:rsidR="00FD4A82">
        <w:rPr>
          <w:rFonts w:ascii="Times New Roman" w:hAnsi="Times New Roman" w:cs="Times New Roman"/>
          <w:sz w:val="24"/>
          <w:szCs w:val="24"/>
        </w:rPr>
        <w:t>,</w:t>
      </w:r>
      <w:r w:rsidR="005762C0">
        <w:rPr>
          <w:rFonts w:ascii="Times New Roman" w:hAnsi="Times New Roman" w:cs="Times New Roman"/>
          <w:sz w:val="24"/>
          <w:szCs w:val="24"/>
        </w:rPr>
        <w:t>3</w:t>
      </w:r>
      <w:r w:rsidR="00C37C1B" w:rsidRPr="00B06670">
        <w:rPr>
          <w:rFonts w:ascii="Times New Roman" w:hAnsi="Times New Roman" w:cs="Times New Roman"/>
          <w:sz w:val="24"/>
          <w:szCs w:val="24"/>
        </w:rPr>
        <w:t xml:space="preserve"> milyar dolar).</w:t>
      </w:r>
    </w:p>
    <w:p w14:paraId="4457B566" w14:textId="77777777" w:rsidR="00BB5CFD" w:rsidRPr="00B06670" w:rsidRDefault="00BB5CFD" w:rsidP="00BB5CFD">
      <w:pPr>
        <w:spacing w:after="0" w:line="240" w:lineRule="auto"/>
        <w:jc w:val="both"/>
        <w:rPr>
          <w:rFonts w:ascii="Times New Roman" w:hAnsi="Times New Roman" w:cs="Times New Roman"/>
          <w:sz w:val="24"/>
          <w:szCs w:val="24"/>
        </w:rPr>
      </w:pPr>
    </w:p>
    <w:p w14:paraId="73D6E324" w14:textId="6A2F5A03" w:rsidR="00B01BED" w:rsidRDefault="001C637E" w:rsidP="00BB5CFD">
      <w:pPr>
        <w:spacing w:after="0" w:line="240" w:lineRule="auto"/>
        <w:ind w:right="-2"/>
        <w:jc w:val="both"/>
        <w:rPr>
          <w:rFonts w:ascii="Times New Roman" w:hAnsi="Times New Roman" w:cs="Times New Roman"/>
          <w:color w:val="000000" w:themeColor="text1"/>
          <w:sz w:val="24"/>
          <w:szCs w:val="24"/>
        </w:rPr>
      </w:pPr>
      <w:r w:rsidRPr="0072696B">
        <w:rPr>
          <w:rFonts w:ascii="Times New Roman" w:hAnsi="Times New Roman" w:cs="Times New Roman"/>
          <w:color w:val="000000" w:themeColor="text1"/>
          <w:sz w:val="24"/>
          <w:szCs w:val="24"/>
        </w:rPr>
        <w:t>202</w:t>
      </w:r>
      <w:r w:rsidR="00D23B66">
        <w:rPr>
          <w:rFonts w:ascii="Times New Roman" w:hAnsi="Times New Roman" w:cs="Times New Roman"/>
          <w:color w:val="000000" w:themeColor="text1"/>
          <w:sz w:val="24"/>
          <w:szCs w:val="24"/>
        </w:rPr>
        <w:t>4</w:t>
      </w:r>
      <w:r w:rsidR="00B01BED" w:rsidRPr="0072696B">
        <w:rPr>
          <w:rFonts w:ascii="Times New Roman" w:hAnsi="Times New Roman" w:cs="Times New Roman"/>
          <w:color w:val="000000" w:themeColor="text1"/>
          <w:sz w:val="24"/>
          <w:szCs w:val="24"/>
        </w:rPr>
        <w:t xml:space="preserve"> yılında ise projelerin bölgesel dağılım şöyle olmuştur: </w:t>
      </w:r>
      <w:r w:rsidR="009674F9">
        <w:rPr>
          <w:rFonts w:ascii="Times New Roman" w:hAnsi="Times New Roman" w:cs="Times New Roman"/>
          <w:color w:val="000000" w:themeColor="text1"/>
          <w:sz w:val="24"/>
          <w:szCs w:val="24"/>
        </w:rPr>
        <w:t>Ortadoğu</w:t>
      </w:r>
      <w:r w:rsidR="002F272A" w:rsidRPr="0072696B">
        <w:rPr>
          <w:rFonts w:ascii="Times New Roman" w:hAnsi="Times New Roman" w:cs="Times New Roman"/>
          <w:color w:val="000000" w:themeColor="text1"/>
          <w:sz w:val="24"/>
          <w:szCs w:val="24"/>
        </w:rPr>
        <w:t xml:space="preserve"> </w:t>
      </w:r>
      <w:r w:rsidR="00437393" w:rsidRPr="0072696B">
        <w:rPr>
          <w:rFonts w:ascii="Times New Roman" w:hAnsi="Times New Roman" w:cs="Times New Roman"/>
          <w:color w:val="000000" w:themeColor="text1"/>
          <w:sz w:val="24"/>
          <w:szCs w:val="24"/>
        </w:rPr>
        <w:t>%</w:t>
      </w:r>
      <w:r w:rsidR="009674F9">
        <w:rPr>
          <w:rFonts w:ascii="Times New Roman" w:hAnsi="Times New Roman" w:cs="Times New Roman"/>
          <w:color w:val="000000" w:themeColor="text1"/>
          <w:sz w:val="24"/>
          <w:szCs w:val="24"/>
        </w:rPr>
        <w:t>4</w:t>
      </w:r>
      <w:r w:rsidR="00DA121A">
        <w:rPr>
          <w:rFonts w:ascii="Times New Roman" w:hAnsi="Times New Roman" w:cs="Times New Roman"/>
          <w:color w:val="000000" w:themeColor="text1"/>
          <w:sz w:val="24"/>
          <w:szCs w:val="24"/>
        </w:rPr>
        <w:t>3,5</w:t>
      </w:r>
      <w:r w:rsidR="00365AB0"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w:t>
      </w:r>
      <w:r w:rsidR="002D05DF">
        <w:rPr>
          <w:rFonts w:ascii="Times New Roman" w:hAnsi="Times New Roman" w:cs="Times New Roman"/>
          <w:color w:val="000000" w:themeColor="text1"/>
          <w:sz w:val="24"/>
          <w:szCs w:val="24"/>
        </w:rPr>
        <w:t>3</w:t>
      </w:r>
      <w:r w:rsidR="00DA121A">
        <w:rPr>
          <w:rFonts w:ascii="Times New Roman" w:hAnsi="Times New Roman" w:cs="Times New Roman"/>
          <w:color w:val="000000" w:themeColor="text1"/>
          <w:sz w:val="24"/>
          <w:szCs w:val="24"/>
        </w:rPr>
        <w:t>,1</w:t>
      </w:r>
      <w:r w:rsidR="0028563A">
        <w:rPr>
          <w:rFonts w:ascii="Times New Roman" w:hAnsi="Times New Roman" w:cs="Times New Roman"/>
          <w:color w:val="000000" w:themeColor="text1"/>
          <w:sz w:val="24"/>
          <w:szCs w:val="24"/>
        </w:rPr>
        <w:t xml:space="preserve"> </w:t>
      </w:r>
      <w:r w:rsidR="0011475C" w:rsidRPr="0072696B">
        <w:rPr>
          <w:rFonts w:ascii="Times New Roman" w:hAnsi="Times New Roman" w:cs="Times New Roman"/>
          <w:color w:val="000000" w:themeColor="text1"/>
          <w:sz w:val="24"/>
          <w:szCs w:val="24"/>
        </w:rPr>
        <w:t xml:space="preserve">milyar dolar), </w:t>
      </w:r>
      <w:r w:rsidR="009674F9" w:rsidRPr="009674F9">
        <w:rPr>
          <w:rFonts w:ascii="Times New Roman" w:hAnsi="Times New Roman" w:cs="Times New Roman"/>
          <w:color w:val="000000" w:themeColor="text1"/>
          <w:sz w:val="24"/>
          <w:szCs w:val="24"/>
        </w:rPr>
        <w:t>Afrika %</w:t>
      </w:r>
      <w:r w:rsidR="009674F9">
        <w:rPr>
          <w:rFonts w:ascii="Times New Roman" w:hAnsi="Times New Roman" w:cs="Times New Roman"/>
          <w:color w:val="000000" w:themeColor="text1"/>
          <w:sz w:val="24"/>
          <w:szCs w:val="24"/>
        </w:rPr>
        <w:t>2</w:t>
      </w:r>
      <w:r w:rsidR="00DA121A">
        <w:rPr>
          <w:rFonts w:ascii="Times New Roman" w:hAnsi="Times New Roman" w:cs="Times New Roman"/>
          <w:color w:val="000000" w:themeColor="text1"/>
          <w:sz w:val="24"/>
          <w:szCs w:val="24"/>
        </w:rPr>
        <w:t>8,6</w:t>
      </w:r>
      <w:r w:rsidR="009674F9" w:rsidRPr="009674F9">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8,6</w:t>
      </w:r>
      <w:r w:rsidR="009674F9" w:rsidRPr="009674F9">
        <w:rPr>
          <w:rFonts w:ascii="Times New Roman" w:hAnsi="Times New Roman" w:cs="Times New Roman"/>
          <w:color w:val="000000" w:themeColor="text1"/>
          <w:sz w:val="24"/>
          <w:szCs w:val="24"/>
        </w:rPr>
        <w:t xml:space="preserve"> milyar dolar)</w:t>
      </w:r>
      <w:r w:rsidR="009674F9">
        <w:rPr>
          <w:rFonts w:ascii="Times New Roman" w:hAnsi="Times New Roman" w:cs="Times New Roman"/>
          <w:color w:val="000000" w:themeColor="text1"/>
          <w:sz w:val="24"/>
          <w:szCs w:val="24"/>
        </w:rPr>
        <w:t>,</w:t>
      </w:r>
      <w:r w:rsidR="009674F9" w:rsidRPr="009674F9">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BDT</w:t>
      </w:r>
      <w:r w:rsidR="0072696B" w:rsidRPr="0072696B">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1</w:t>
      </w:r>
      <w:r w:rsidR="00DA121A">
        <w:rPr>
          <w:rFonts w:ascii="Times New Roman" w:hAnsi="Times New Roman" w:cs="Times New Roman"/>
          <w:color w:val="000000" w:themeColor="text1"/>
          <w:sz w:val="24"/>
          <w:szCs w:val="24"/>
        </w:rPr>
        <w:t>5,4</w:t>
      </w:r>
      <w:r w:rsidR="0072696B" w:rsidRPr="0072696B">
        <w:rPr>
          <w:rFonts w:ascii="Times New Roman" w:hAnsi="Times New Roman" w:cs="Times New Roman"/>
          <w:color w:val="000000" w:themeColor="text1"/>
          <w:sz w:val="24"/>
          <w:szCs w:val="24"/>
        </w:rPr>
        <w:t xml:space="preserve"> (</w:t>
      </w:r>
      <w:r w:rsidR="00DA121A">
        <w:rPr>
          <w:rFonts w:ascii="Times New Roman" w:hAnsi="Times New Roman" w:cs="Times New Roman"/>
          <w:color w:val="000000" w:themeColor="text1"/>
          <w:sz w:val="24"/>
          <w:szCs w:val="24"/>
        </w:rPr>
        <w:t>4,6</w:t>
      </w:r>
      <w:r w:rsidR="0072696B" w:rsidRPr="0072696B">
        <w:rPr>
          <w:rFonts w:ascii="Times New Roman" w:hAnsi="Times New Roman" w:cs="Times New Roman"/>
          <w:color w:val="000000" w:themeColor="text1"/>
          <w:sz w:val="24"/>
          <w:szCs w:val="24"/>
        </w:rPr>
        <w:t xml:space="preserve"> milyar dolar), </w:t>
      </w:r>
      <w:r w:rsidR="00D90A59">
        <w:rPr>
          <w:rFonts w:ascii="Times New Roman" w:hAnsi="Times New Roman" w:cs="Times New Roman"/>
          <w:color w:val="000000" w:themeColor="text1"/>
          <w:sz w:val="24"/>
          <w:szCs w:val="24"/>
        </w:rPr>
        <w:t>Avrupa</w:t>
      </w:r>
      <w:r w:rsidR="0011475C"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1</w:t>
      </w:r>
      <w:r w:rsidR="002D05DF">
        <w:rPr>
          <w:rFonts w:ascii="Times New Roman" w:hAnsi="Times New Roman" w:cs="Times New Roman"/>
          <w:color w:val="000000" w:themeColor="text1"/>
          <w:sz w:val="24"/>
          <w:szCs w:val="24"/>
        </w:rPr>
        <w:t>2</w:t>
      </w:r>
      <w:r w:rsidR="00B01BED" w:rsidRPr="0072696B">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3,6</w:t>
      </w:r>
      <w:r w:rsidR="00B01BED" w:rsidRPr="0072696B">
        <w:rPr>
          <w:rFonts w:ascii="Times New Roman" w:hAnsi="Times New Roman" w:cs="Times New Roman"/>
          <w:color w:val="000000" w:themeColor="text1"/>
          <w:sz w:val="24"/>
          <w:szCs w:val="24"/>
        </w:rPr>
        <w:t xml:space="preserve"> milyar dolar)</w:t>
      </w:r>
      <w:r w:rsidR="00D90A59">
        <w:rPr>
          <w:rFonts w:ascii="Times New Roman" w:hAnsi="Times New Roman" w:cs="Times New Roman"/>
          <w:color w:val="000000" w:themeColor="text1"/>
          <w:sz w:val="24"/>
          <w:szCs w:val="24"/>
        </w:rPr>
        <w:t xml:space="preserve">, </w:t>
      </w:r>
      <w:r w:rsidR="004D6D1F" w:rsidRPr="0072696B">
        <w:rPr>
          <w:rFonts w:ascii="Times New Roman" w:hAnsi="Times New Roman" w:cs="Times New Roman"/>
          <w:color w:val="000000" w:themeColor="text1"/>
          <w:sz w:val="24"/>
          <w:szCs w:val="24"/>
        </w:rPr>
        <w:t>A</w:t>
      </w:r>
      <w:r w:rsidR="00D90A59">
        <w:rPr>
          <w:rFonts w:ascii="Times New Roman" w:hAnsi="Times New Roman" w:cs="Times New Roman"/>
          <w:color w:val="000000" w:themeColor="text1"/>
          <w:sz w:val="24"/>
          <w:szCs w:val="24"/>
        </w:rPr>
        <w:t>merika</w:t>
      </w:r>
      <w:r w:rsidR="004D6D1F"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0,</w:t>
      </w:r>
      <w:r w:rsidR="00DA121A">
        <w:rPr>
          <w:rFonts w:ascii="Times New Roman" w:hAnsi="Times New Roman" w:cs="Times New Roman"/>
          <w:color w:val="000000" w:themeColor="text1"/>
          <w:sz w:val="24"/>
          <w:szCs w:val="24"/>
        </w:rPr>
        <w:t>6</w:t>
      </w:r>
      <w:r w:rsidR="00B01BED" w:rsidRPr="0072696B">
        <w:rPr>
          <w:rFonts w:ascii="Times New Roman" w:hAnsi="Times New Roman" w:cs="Times New Roman"/>
          <w:color w:val="000000" w:themeColor="text1"/>
          <w:sz w:val="24"/>
          <w:szCs w:val="24"/>
        </w:rPr>
        <w:t xml:space="preserve"> (</w:t>
      </w:r>
      <w:r w:rsidR="00DA121A">
        <w:rPr>
          <w:rFonts w:ascii="Times New Roman" w:hAnsi="Times New Roman" w:cs="Times New Roman"/>
          <w:color w:val="000000" w:themeColor="text1"/>
          <w:sz w:val="24"/>
          <w:szCs w:val="24"/>
        </w:rPr>
        <w:t>177</w:t>
      </w:r>
      <w:r w:rsidR="0072696B" w:rsidRPr="0072696B">
        <w:rPr>
          <w:rFonts w:ascii="Times New Roman" w:hAnsi="Times New Roman" w:cs="Times New Roman"/>
          <w:color w:val="000000" w:themeColor="text1"/>
          <w:sz w:val="24"/>
          <w:szCs w:val="24"/>
        </w:rPr>
        <w:t xml:space="preserve"> </w:t>
      </w:r>
      <w:r w:rsidR="00B01BED" w:rsidRPr="0072696B">
        <w:rPr>
          <w:rFonts w:ascii="Times New Roman" w:hAnsi="Times New Roman" w:cs="Times New Roman"/>
          <w:color w:val="000000" w:themeColor="text1"/>
          <w:sz w:val="24"/>
          <w:szCs w:val="24"/>
        </w:rPr>
        <w:t>mily</w:t>
      </w:r>
      <w:r w:rsidR="00757E52" w:rsidRPr="0072696B">
        <w:rPr>
          <w:rFonts w:ascii="Times New Roman" w:hAnsi="Times New Roman" w:cs="Times New Roman"/>
          <w:color w:val="000000" w:themeColor="text1"/>
          <w:sz w:val="24"/>
          <w:szCs w:val="24"/>
        </w:rPr>
        <w:t>on dolar)</w:t>
      </w:r>
      <w:r w:rsidR="0072696B"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Asya</w:t>
      </w:r>
      <w:r w:rsidR="0072696B" w:rsidRPr="0072696B">
        <w:rPr>
          <w:rFonts w:ascii="Times New Roman" w:hAnsi="Times New Roman" w:cs="Times New Roman"/>
          <w:color w:val="000000" w:themeColor="text1"/>
          <w:sz w:val="24"/>
          <w:szCs w:val="24"/>
        </w:rPr>
        <w:t xml:space="preserve"> %0,</w:t>
      </w:r>
      <w:r w:rsidR="00D90A59">
        <w:rPr>
          <w:rFonts w:ascii="Times New Roman" w:hAnsi="Times New Roman" w:cs="Times New Roman"/>
          <w:color w:val="000000" w:themeColor="text1"/>
          <w:sz w:val="24"/>
          <w:szCs w:val="24"/>
        </w:rPr>
        <w:t>01</w:t>
      </w:r>
      <w:r w:rsidR="0072696B"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2,</w:t>
      </w:r>
      <w:r w:rsidR="002D05DF">
        <w:rPr>
          <w:rFonts w:ascii="Times New Roman" w:hAnsi="Times New Roman" w:cs="Times New Roman"/>
          <w:color w:val="000000" w:themeColor="text1"/>
          <w:sz w:val="24"/>
          <w:szCs w:val="24"/>
        </w:rPr>
        <w:t>9</w:t>
      </w:r>
      <w:r w:rsidR="0072696B" w:rsidRPr="0072696B">
        <w:rPr>
          <w:rFonts w:ascii="Times New Roman" w:hAnsi="Times New Roman" w:cs="Times New Roman"/>
          <w:color w:val="000000" w:themeColor="text1"/>
          <w:sz w:val="24"/>
          <w:szCs w:val="24"/>
        </w:rPr>
        <w:t xml:space="preserve"> milyon dolar).</w:t>
      </w:r>
    </w:p>
    <w:p w14:paraId="21E869C5" w14:textId="77777777" w:rsidR="00BB5CFD" w:rsidRPr="002530A8" w:rsidRDefault="00BB5CFD" w:rsidP="00BB5CFD">
      <w:pPr>
        <w:spacing w:after="0" w:line="240" w:lineRule="auto"/>
        <w:ind w:right="-2"/>
        <w:jc w:val="both"/>
        <w:rPr>
          <w:rFonts w:ascii="Times New Roman" w:hAnsi="Times New Roman" w:cs="Times New Roman"/>
          <w:color w:val="000000" w:themeColor="text1"/>
          <w:sz w:val="24"/>
          <w:szCs w:val="24"/>
        </w:rPr>
      </w:pPr>
    </w:p>
    <w:tbl>
      <w:tblPr>
        <w:tblW w:w="9089" w:type="dxa"/>
        <w:tblCellMar>
          <w:left w:w="70" w:type="dxa"/>
          <w:right w:w="70" w:type="dxa"/>
        </w:tblCellMar>
        <w:tblLook w:val="04A0" w:firstRow="1" w:lastRow="0" w:firstColumn="1" w:lastColumn="0" w:noHBand="0" w:noVBand="1"/>
      </w:tblPr>
      <w:tblGrid>
        <w:gridCol w:w="3130"/>
        <w:gridCol w:w="2313"/>
        <w:gridCol w:w="3646"/>
      </w:tblGrid>
      <w:tr w:rsidR="0096099B" w:rsidRPr="0096099B" w14:paraId="7E3FBD80" w14:textId="77777777" w:rsidTr="0096099B">
        <w:trPr>
          <w:trHeight w:val="564"/>
        </w:trPr>
        <w:tc>
          <w:tcPr>
            <w:tcW w:w="9089"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37BA3994"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1972 - 2025 YILLARI ARASINDA EN FAZLA MÜTEAHHİTLİK İŞİ ÜSTLENİLMİŞ OLAN İLK 10 ÜLKE</w:t>
            </w:r>
          </w:p>
        </w:tc>
      </w:tr>
      <w:tr w:rsidR="0096099B" w:rsidRPr="0096099B" w14:paraId="6C397265" w14:textId="77777777" w:rsidTr="0096099B">
        <w:trPr>
          <w:trHeight w:val="508"/>
        </w:trPr>
        <w:tc>
          <w:tcPr>
            <w:tcW w:w="3130" w:type="dxa"/>
            <w:tcBorders>
              <w:top w:val="nil"/>
              <w:left w:val="single" w:sz="4" w:space="0" w:color="auto"/>
              <w:bottom w:val="single" w:sz="4" w:space="0" w:color="auto"/>
              <w:right w:val="single" w:sz="4" w:space="0" w:color="auto"/>
            </w:tcBorders>
            <w:shd w:val="clear" w:color="000000" w:fill="99CCFF"/>
            <w:vAlign w:val="center"/>
            <w:hideMark/>
          </w:tcPr>
          <w:p w14:paraId="6E55D66D"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SIRA</w:t>
            </w:r>
          </w:p>
        </w:tc>
        <w:tc>
          <w:tcPr>
            <w:tcW w:w="2313" w:type="dxa"/>
            <w:tcBorders>
              <w:top w:val="nil"/>
              <w:left w:val="nil"/>
              <w:bottom w:val="single" w:sz="4" w:space="0" w:color="auto"/>
              <w:right w:val="single" w:sz="4" w:space="0" w:color="auto"/>
            </w:tcBorders>
            <w:shd w:val="clear" w:color="000000" w:fill="99CCFF"/>
            <w:noWrap/>
            <w:vAlign w:val="center"/>
            <w:hideMark/>
          </w:tcPr>
          <w:p w14:paraId="6E100869"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ÜLKE</w:t>
            </w:r>
          </w:p>
        </w:tc>
        <w:tc>
          <w:tcPr>
            <w:tcW w:w="3645" w:type="dxa"/>
            <w:tcBorders>
              <w:top w:val="nil"/>
              <w:left w:val="nil"/>
              <w:bottom w:val="single" w:sz="4" w:space="0" w:color="auto"/>
              <w:right w:val="single" w:sz="4" w:space="0" w:color="auto"/>
            </w:tcBorders>
            <w:shd w:val="clear" w:color="000000" w:fill="99CCFF"/>
            <w:vAlign w:val="center"/>
            <w:hideMark/>
          </w:tcPr>
          <w:p w14:paraId="781F84E0"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PROJE BEDELİ (USD)</w:t>
            </w:r>
          </w:p>
        </w:tc>
      </w:tr>
      <w:tr w:rsidR="0096099B" w:rsidRPr="0096099B" w14:paraId="4D472407" w14:textId="77777777" w:rsidTr="0096099B">
        <w:trPr>
          <w:trHeight w:val="564"/>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2E6719E"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w:t>
            </w:r>
          </w:p>
        </w:tc>
        <w:tc>
          <w:tcPr>
            <w:tcW w:w="2313" w:type="dxa"/>
            <w:tcBorders>
              <w:top w:val="nil"/>
              <w:left w:val="nil"/>
              <w:bottom w:val="single" w:sz="4" w:space="0" w:color="auto"/>
              <w:right w:val="single" w:sz="4" w:space="0" w:color="auto"/>
            </w:tcBorders>
            <w:shd w:val="clear" w:color="auto" w:fill="auto"/>
            <w:noWrap/>
            <w:vAlign w:val="center"/>
            <w:hideMark/>
          </w:tcPr>
          <w:p w14:paraId="0DA1AE04"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RUSYA FED.</w:t>
            </w:r>
          </w:p>
        </w:tc>
        <w:tc>
          <w:tcPr>
            <w:tcW w:w="3645"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0E9D8D6C"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103.010.688.955</w:t>
            </w:r>
          </w:p>
        </w:tc>
      </w:tr>
      <w:tr w:rsidR="0096099B" w:rsidRPr="0096099B" w14:paraId="15058A3F" w14:textId="77777777" w:rsidTr="0096099B">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3D3DF86F"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2</w:t>
            </w:r>
          </w:p>
        </w:tc>
        <w:tc>
          <w:tcPr>
            <w:tcW w:w="2313" w:type="dxa"/>
            <w:tcBorders>
              <w:top w:val="nil"/>
              <w:left w:val="nil"/>
              <w:bottom w:val="single" w:sz="4" w:space="0" w:color="auto"/>
              <w:right w:val="single" w:sz="4" w:space="0" w:color="auto"/>
            </w:tcBorders>
            <w:shd w:val="clear" w:color="auto" w:fill="auto"/>
            <w:noWrap/>
            <w:vAlign w:val="center"/>
            <w:hideMark/>
          </w:tcPr>
          <w:p w14:paraId="0D7096A4"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TÜRKMENİSTAN</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334FBCAA"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54.157.346.330</w:t>
            </w:r>
          </w:p>
        </w:tc>
      </w:tr>
      <w:tr w:rsidR="0096099B" w:rsidRPr="0096099B" w14:paraId="43B26572" w14:textId="77777777" w:rsidTr="0096099B">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1095471D"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3</w:t>
            </w:r>
          </w:p>
        </w:tc>
        <w:tc>
          <w:tcPr>
            <w:tcW w:w="2313" w:type="dxa"/>
            <w:tcBorders>
              <w:top w:val="nil"/>
              <w:left w:val="nil"/>
              <w:bottom w:val="single" w:sz="4" w:space="0" w:color="auto"/>
              <w:right w:val="single" w:sz="4" w:space="0" w:color="auto"/>
            </w:tcBorders>
            <w:shd w:val="clear" w:color="auto" w:fill="auto"/>
            <w:noWrap/>
            <w:vAlign w:val="center"/>
            <w:hideMark/>
          </w:tcPr>
          <w:p w14:paraId="49D5EE2A"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IRAK</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2F1E97CD"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35.404.198.616</w:t>
            </w:r>
          </w:p>
        </w:tc>
      </w:tr>
      <w:tr w:rsidR="0096099B" w:rsidRPr="0096099B" w14:paraId="49026744" w14:textId="77777777" w:rsidTr="0096099B">
        <w:trPr>
          <w:trHeight w:val="353"/>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2DEA9551"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4</w:t>
            </w:r>
          </w:p>
        </w:tc>
        <w:tc>
          <w:tcPr>
            <w:tcW w:w="2313" w:type="dxa"/>
            <w:tcBorders>
              <w:top w:val="nil"/>
              <w:left w:val="nil"/>
              <w:bottom w:val="single" w:sz="4" w:space="0" w:color="auto"/>
              <w:right w:val="single" w:sz="4" w:space="0" w:color="auto"/>
            </w:tcBorders>
            <w:shd w:val="clear" w:color="auto" w:fill="auto"/>
            <w:noWrap/>
            <w:vAlign w:val="center"/>
            <w:hideMark/>
          </w:tcPr>
          <w:p w14:paraId="1B6F022B"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S.ARABİSTAN</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0CB2F8E0"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33.553.223.250</w:t>
            </w:r>
          </w:p>
        </w:tc>
      </w:tr>
      <w:tr w:rsidR="0096099B" w:rsidRPr="0096099B" w14:paraId="4032C2F7" w14:textId="77777777" w:rsidTr="0096099B">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C4076E3"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5</w:t>
            </w:r>
          </w:p>
        </w:tc>
        <w:tc>
          <w:tcPr>
            <w:tcW w:w="2313" w:type="dxa"/>
            <w:tcBorders>
              <w:top w:val="nil"/>
              <w:left w:val="nil"/>
              <w:bottom w:val="single" w:sz="4" w:space="0" w:color="auto"/>
              <w:right w:val="single" w:sz="4" w:space="0" w:color="auto"/>
            </w:tcBorders>
            <w:shd w:val="clear" w:color="auto" w:fill="auto"/>
            <w:noWrap/>
            <w:vAlign w:val="center"/>
            <w:hideMark/>
          </w:tcPr>
          <w:p w14:paraId="501DE4D7"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LİBYA</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25E0E80B"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31.446.508.275</w:t>
            </w:r>
          </w:p>
        </w:tc>
      </w:tr>
      <w:tr w:rsidR="0096099B" w:rsidRPr="0096099B" w14:paraId="3F19DF6D" w14:textId="77777777" w:rsidTr="0096099B">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66E56D1"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6</w:t>
            </w:r>
          </w:p>
        </w:tc>
        <w:tc>
          <w:tcPr>
            <w:tcW w:w="2313" w:type="dxa"/>
            <w:tcBorders>
              <w:top w:val="nil"/>
              <w:left w:val="nil"/>
              <w:bottom w:val="single" w:sz="4" w:space="0" w:color="auto"/>
              <w:right w:val="single" w:sz="4" w:space="0" w:color="auto"/>
            </w:tcBorders>
            <w:shd w:val="clear" w:color="auto" w:fill="auto"/>
            <w:noWrap/>
            <w:vAlign w:val="center"/>
            <w:hideMark/>
          </w:tcPr>
          <w:p w14:paraId="02058F02"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KAZAKİSTAN</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2A4BF59A"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29.572.763.179</w:t>
            </w:r>
          </w:p>
        </w:tc>
      </w:tr>
      <w:tr w:rsidR="0096099B" w:rsidRPr="0096099B" w14:paraId="4EEAD766" w14:textId="77777777" w:rsidTr="0096099B">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5E9D3834"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7</w:t>
            </w:r>
          </w:p>
        </w:tc>
        <w:tc>
          <w:tcPr>
            <w:tcW w:w="2313" w:type="dxa"/>
            <w:tcBorders>
              <w:top w:val="nil"/>
              <w:left w:val="nil"/>
              <w:bottom w:val="single" w:sz="4" w:space="0" w:color="auto"/>
              <w:right w:val="single" w:sz="4" w:space="0" w:color="auto"/>
            </w:tcBorders>
            <w:shd w:val="clear" w:color="auto" w:fill="auto"/>
            <w:noWrap/>
            <w:vAlign w:val="center"/>
            <w:hideMark/>
          </w:tcPr>
          <w:p w14:paraId="50821A67"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CEZAYİR</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2A3BB065"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22.739.655.842</w:t>
            </w:r>
          </w:p>
        </w:tc>
      </w:tr>
      <w:tr w:rsidR="0096099B" w:rsidRPr="0096099B" w14:paraId="5B1CE3AC" w14:textId="77777777" w:rsidTr="0096099B">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2256538D"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8</w:t>
            </w:r>
          </w:p>
        </w:tc>
        <w:tc>
          <w:tcPr>
            <w:tcW w:w="2313" w:type="dxa"/>
            <w:tcBorders>
              <w:top w:val="nil"/>
              <w:left w:val="nil"/>
              <w:bottom w:val="single" w:sz="4" w:space="0" w:color="auto"/>
              <w:right w:val="single" w:sz="4" w:space="0" w:color="auto"/>
            </w:tcBorders>
            <w:shd w:val="clear" w:color="auto" w:fill="auto"/>
            <w:noWrap/>
            <w:vAlign w:val="center"/>
            <w:hideMark/>
          </w:tcPr>
          <w:p w14:paraId="64D0067C"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AZERBAYCAN</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1B95C114"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20.760.752.458</w:t>
            </w:r>
          </w:p>
        </w:tc>
      </w:tr>
      <w:tr w:rsidR="0096099B" w:rsidRPr="0096099B" w14:paraId="245202EA" w14:textId="77777777" w:rsidTr="0096099B">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E571B4B"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9</w:t>
            </w:r>
          </w:p>
        </w:tc>
        <w:tc>
          <w:tcPr>
            <w:tcW w:w="2313" w:type="dxa"/>
            <w:tcBorders>
              <w:top w:val="nil"/>
              <w:left w:val="nil"/>
              <w:bottom w:val="single" w:sz="4" w:space="0" w:color="auto"/>
              <w:right w:val="single" w:sz="4" w:space="0" w:color="auto"/>
            </w:tcBorders>
            <w:shd w:val="clear" w:color="auto" w:fill="auto"/>
            <w:noWrap/>
            <w:vAlign w:val="center"/>
            <w:hideMark/>
          </w:tcPr>
          <w:p w14:paraId="6EBEF5F8"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KATAR</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2EEF1053"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20.318.253.880</w:t>
            </w:r>
          </w:p>
        </w:tc>
      </w:tr>
      <w:tr w:rsidR="0096099B" w:rsidRPr="0096099B" w14:paraId="65107B48" w14:textId="77777777" w:rsidTr="0096099B">
        <w:trPr>
          <w:trHeight w:val="310"/>
        </w:trPr>
        <w:tc>
          <w:tcPr>
            <w:tcW w:w="3130" w:type="dxa"/>
            <w:tcBorders>
              <w:top w:val="nil"/>
              <w:left w:val="single" w:sz="4" w:space="0" w:color="auto"/>
              <w:bottom w:val="single" w:sz="4" w:space="0" w:color="auto"/>
              <w:right w:val="single" w:sz="4" w:space="0" w:color="auto"/>
            </w:tcBorders>
            <w:shd w:val="clear" w:color="auto" w:fill="auto"/>
            <w:noWrap/>
            <w:vAlign w:val="center"/>
            <w:hideMark/>
          </w:tcPr>
          <w:p w14:paraId="79469EC6"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10</w:t>
            </w:r>
          </w:p>
        </w:tc>
        <w:tc>
          <w:tcPr>
            <w:tcW w:w="2313" w:type="dxa"/>
            <w:tcBorders>
              <w:top w:val="nil"/>
              <w:left w:val="nil"/>
              <w:bottom w:val="single" w:sz="4" w:space="0" w:color="auto"/>
              <w:right w:val="single" w:sz="4" w:space="0" w:color="auto"/>
            </w:tcBorders>
            <w:shd w:val="clear" w:color="auto" w:fill="auto"/>
            <w:noWrap/>
            <w:vAlign w:val="center"/>
            <w:hideMark/>
          </w:tcPr>
          <w:p w14:paraId="254614FB"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BAE</w:t>
            </w:r>
          </w:p>
        </w:tc>
        <w:tc>
          <w:tcPr>
            <w:tcW w:w="3645" w:type="dxa"/>
            <w:tcBorders>
              <w:top w:val="nil"/>
              <w:left w:val="single" w:sz="4" w:space="0" w:color="333399"/>
              <w:bottom w:val="single" w:sz="4" w:space="0" w:color="333399"/>
              <w:right w:val="single" w:sz="4" w:space="0" w:color="333399"/>
            </w:tcBorders>
            <w:shd w:val="clear" w:color="auto" w:fill="auto"/>
            <w:noWrap/>
            <w:vAlign w:val="center"/>
            <w:hideMark/>
          </w:tcPr>
          <w:p w14:paraId="0C9FAF30"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17.930.969.788</w:t>
            </w:r>
          </w:p>
        </w:tc>
      </w:tr>
      <w:tr w:rsidR="0096099B" w:rsidRPr="0096099B" w14:paraId="0F767C4C" w14:textId="77777777" w:rsidTr="0096099B">
        <w:trPr>
          <w:trHeight w:val="381"/>
        </w:trPr>
        <w:tc>
          <w:tcPr>
            <w:tcW w:w="5443"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hideMark/>
          </w:tcPr>
          <w:p w14:paraId="445677DC"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DİĞERLERİ</w:t>
            </w:r>
          </w:p>
        </w:tc>
        <w:tc>
          <w:tcPr>
            <w:tcW w:w="3645" w:type="dxa"/>
            <w:tcBorders>
              <w:top w:val="nil"/>
              <w:left w:val="nil"/>
              <w:bottom w:val="single" w:sz="4" w:space="0" w:color="333399"/>
              <w:right w:val="single" w:sz="4" w:space="0" w:color="333399"/>
            </w:tcBorders>
            <w:shd w:val="clear" w:color="auto" w:fill="auto"/>
            <w:noWrap/>
            <w:vAlign w:val="center"/>
            <w:hideMark/>
          </w:tcPr>
          <w:p w14:paraId="444112AE"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171.088.229.576</w:t>
            </w:r>
          </w:p>
        </w:tc>
      </w:tr>
      <w:tr w:rsidR="0096099B" w:rsidRPr="0096099B" w14:paraId="5314A50C" w14:textId="77777777" w:rsidTr="0096099B">
        <w:trPr>
          <w:trHeight w:val="310"/>
        </w:trPr>
        <w:tc>
          <w:tcPr>
            <w:tcW w:w="5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8B3657" w14:textId="77777777" w:rsidR="0096099B" w:rsidRPr="0096099B" w:rsidRDefault="0096099B" w:rsidP="0096099B">
            <w:pPr>
              <w:spacing w:after="0" w:line="240" w:lineRule="auto"/>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TOPLAM</w:t>
            </w:r>
          </w:p>
        </w:tc>
        <w:tc>
          <w:tcPr>
            <w:tcW w:w="3645" w:type="dxa"/>
            <w:tcBorders>
              <w:top w:val="nil"/>
              <w:left w:val="single" w:sz="4" w:space="0" w:color="333399"/>
              <w:bottom w:val="single" w:sz="4" w:space="0" w:color="333399"/>
              <w:right w:val="single" w:sz="4" w:space="0" w:color="333399"/>
            </w:tcBorders>
            <w:shd w:val="clear" w:color="auto" w:fill="auto"/>
            <w:noWrap/>
            <w:vAlign w:val="bottom"/>
            <w:hideMark/>
          </w:tcPr>
          <w:p w14:paraId="2AB0936E" w14:textId="77777777" w:rsidR="0096099B" w:rsidRPr="0096099B" w:rsidRDefault="0096099B" w:rsidP="0096099B">
            <w:pPr>
              <w:spacing w:after="0" w:line="240" w:lineRule="auto"/>
              <w:jc w:val="center"/>
              <w:rPr>
                <w:rFonts w:ascii="Century Gothic" w:eastAsia="Times New Roman" w:hAnsi="Century Gothic" w:cs="Arial TUR"/>
                <w:b/>
                <w:bCs/>
                <w:color w:val="000080"/>
                <w:sz w:val="20"/>
                <w:szCs w:val="20"/>
                <w:lang w:eastAsia="tr-TR"/>
              </w:rPr>
            </w:pPr>
            <w:r w:rsidRPr="0096099B">
              <w:rPr>
                <w:rFonts w:ascii="Century Gothic" w:eastAsia="Times New Roman" w:hAnsi="Century Gothic" w:cs="Arial TUR"/>
                <w:b/>
                <w:bCs/>
                <w:color w:val="000080"/>
                <w:sz w:val="20"/>
                <w:szCs w:val="20"/>
                <w:lang w:eastAsia="tr-TR"/>
              </w:rPr>
              <w:t>539.982.590.149</w:t>
            </w:r>
          </w:p>
        </w:tc>
      </w:tr>
    </w:tbl>
    <w:p w14:paraId="6C2230CD" w14:textId="77777777" w:rsidR="007033CF" w:rsidRDefault="007033CF" w:rsidP="00BB5CFD">
      <w:pPr>
        <w:spacing w:after="0" w:line="240" w:lineRule="auto"/>
        <w:ind w:right="-2"/>
        <w:jc w:val="both"/>
        <w:rPr>
          <w:rFonts w:ascii="Times New Roman" w:hAnsi="Times New Roman" w:cs="Times New Roman"/>
          <w:color w:val="000000" w:themeColor="text1"/>
          <w:sz w:val="24"/>
          <w:szCs w:val="24"/>
        </w:rPr>
      </w:pPr>
    </w:p>
    <w:p w14:paraId="67E031CA" w14:textId="660EBE0D" w:rsidR="00B85CAD" w:rsidRDefault="0089003D" w:rsidP="00BB5CFD">
      <w:pPr>
        <w:spacing w:after="0" w:line="240" w:lineRule="auto"/>
        <w:ind w:right="-2"/>
        <w:jc w:val="both"/>
        <w:rPr>
          <w:rFonts w:ascii="Times New Roman" w:hAnsi="Times New Roman" w:cs="Times New Roman"/>
          <w:color w:val="000000" w:themeColor="text1"/>
          <w:sz w:val="24"/>
          <w:szCs w:val="24"/>
        </w:rPr>
      </w:pPr>
      <w:r w:rsidRPr="00B95739">
        <w:rPr>
          <w:rFonts w:ascii="Times New Roman" w:hAnsi="Times New Roman" w:cs="Times New Roman"/>
          <w:color w:val="000000" w:themeColor="text1"/>
          <w:sz w:val="24"/>
          <w:szCs w:val="24"/>
        </w:rPr>
        <w:t>1972 yılından günümüze kadar müteahhitlik firmalarımızca yurt dışında üstlenilen projelerin ülkelere göre dağılımında,</w:t>
      </w:r>
      <w:r w:rsidR="00E27AB1">
        <w:rPr>
          <w:rFonts w:ascii="Times New Roman" w:hAnsi="Times New Roman" w:cs="Times New Roman"/>
          <w:color w:val="000000" w:themeColor="text1"/>
          <w:sz w:val="24"/>
          <w:szCs w:val="24"/>
        </w:rPr>
        <w:t xml:space="preserve"> </w:t>
      </w:r>
      <w:r w:rsidR="006113D7">
        <w:rPr>
          <w:rFonts w:ascii="Times New Roman" w:hAnsi="Times New Roman" w:cs="Times New Roman"/>
          <w:color w:val="000000" w:themeColor="text1"/>
          <w:sz w:val="24"/>
          <w:szCs w:val="24"/>
        </w:rPr>
        <w:t xml:space="preserve">geneldeki ağırlığı yavaş yavaş azalmakla birlikte </w:t>
      </w:r>
      <w:r w:rsidR="00E27AB1">
        <w:rPr>
          <w:rFonts w:ascii="Times New Roman" w:hAnsi="Times New Roman" w:cs="Times New Roman"/>
          <w:color w:val="000000" w:themeColor="text1"/>
          <w:sz w:val="24"/>
          <w:szCs w:val="24"/>
        </w:rPr>
        <w:t>Rusya Federasyonu %</w:t>
      </w:r>
      <w:r w:rsidR="00B006DF">
        <w:rPr>
          <w:rFonts w:ascii="Times New Roman" w:hAnsi="Times New Roman" w:cs="Times New Roman"/>
          <w:color w:val="000000" w:themeColor="text1"/>
          <w:sz w:val="24"/>
          <w:szCs w:val="24"/>
        </w:rPr>
        <w:t>19,</w:t>
      </w:r>
      <w:r w:rsidR="00DA121A">
        <w:rPr>
          <w:rFonts w:ascii="Times New Roman" w:hAnsi="Times New Roman" w:cs="Times New Roman"/>
          <w:color w:val="000000" w:themeColor="text1"/>
          <w:sz w:val="24"/>
          <w:szCs w:val="24"/>
        </w:rPr>
        <w:t>1</w:t>
      </w:r>
      <w:r w:rsidR="0028563A">
        <w:rPr>
          <w:rFonts w:ascii="Times New Roman" w:hAnsi="Times New Roman" w:cs="Times New Roman"/>
          <w:color w:val="000000" w:themeColor="text1"/>
          <w:sz w:val="24"/>
          <w:szCs w:val="24"/>
        </w:rPr>
        <w:t>’l</w:t>
      </w:r>
      <w:r w:rsidR="002D05DF">
        <w:rPr>
          <w:rFonts w:ascii="Times New Roman" w:hAnsi="Times New Roman" w:cs="Times New Roman"/>
          <w:color w:val="000000" w:themeColor="text1"/>
          <w:sz w:val="24"/>
          <w:szCs w:val="24"/>
        </w:rPr>
        <w:t>i</w:t>
      </w:r>
      <w:r w:rsidR="0028563A">
        <w:rPr>
          <w:rFonts w:ascii="Times New Roman" w:hAnsi="Times New Roman" w:cs="Times New Roman"/>
          <w:color w:val="000000" w:themeColor="text1"/>
          <w:sz w:val="24"/>
          <w:szCs w:val="24"/>
        </w:rPr>
        <w:t>k</w:t>
      </w:r>
      <w:r w:rsidRPr="00B95739">
        <w:rPr>
          <w:rFonts w:ascii="Times New Roman" w:hAnsi="Times New Roman" w:cs="Times New Roman"/>
          <w:color w:val="000000" w:themeColor="text1"/>
          <w:sz w:val="24"/>
          <w:szCs w:val="24"/>
        </w:rPr>
        <w:t xml:space="preserve"> oranı ile</w:t>
      </w:r>
      <w:r w:rsidR="006113D7">
        <w:rPr>
          <w:rFonts w:ascii="Times New Roman" w:hAnsi="Times New Roman" w:cs="Times New Roman"/>
          <w:color w:val="000000" w:themeColor="text1"/>
          <w:sz w:val="24"/>
          <w:szCs w:val="24"/>
        </w:rPr>
        <w:t xml:space="preserve"> açık ara</w:t>
      </w:r>
      <w:r w:rsidRPr="00B95739">
        <w:rPr>
          <w:rFonts w:ascii="Times New Roman" w:hAnsi="Times New Roman" w:cs="Times New Roman"/>
          <w:color w:val="000000" w:themeColor="text1"/>
          <w:sz w:val="24"/>
          <w:szCs w:val="24"/>
        </w:rPr>
        <w:t xml:space="preserve"> lider konum</w:t>
      </w:r>
      <w:r w:rsidR="006D3B5F" w:rsidRPr="00B95739">
        <w:rPr>
          <w:rFonts w:ascii="Times New Roman" w:hAnsi="Times New Roman" w:cs="Times New Roman"/>
          <w:color w:val="000000" w:themeColor="text1"/>
          <w:sz w:val="24"/>
          <w:szCs w:val="24"/>
        </w:rPr>
        <w:t xml:space="preserve">dadır. Rusya’yı Türkmenistan </w:t>
      </w:r>
      <w:r w:rsidR="00B85CAD" w:rsidRPr="00B95739">
        <w:rPr>
          <w:rFonts w:ascii="Times New Roman" w:hAnsi="Times New Roman" w:cs="Times New Roman"/>
          <w:color w:val="000000" w:themeColor="text1"/>
          <w:sz w:val="24"/>
          <w:szCs w:val="24"/>
        </w:rPr>
        <w:t>takip ederken, ilk 10’da yer alan ülkelerin 4’ünün BDT ülkeleri, diğer 6 ülkenin ise Ortadoğu ve Kuzey Afrika ülkeleri olduğu görülmektedir.</w:t>
      </w:r>
    </w:p>
    <w:p w14:paraId="1EE2EE2C" w14:textId="77777777" w:rsidR="00F603EA" w:rsidRDefault="00F603EA" w:rsidP="00BB5CFD">
      <w:pPr>
        <w:spacing w:after="0" w:line="240" w:lineRule="auto"/>
        <w:ind w:right="-2"/>
        <w:jc w:val="both"/>
        <w:rPr>
          <w:rFonts w:ascii="Times New Roman" w:hAnsi="Times New Roman" w:cs="Times New Roman"/>
          <w:color w:val="000000" w:themeColor="text1"/>
          <w:sz w:val="24"/>
          <w:szCs w:val="24"/>
        </w:rPr>
      </w:pPr>
    </w:p>
    <w:p w14:paraId="02D7D505" w14:textId="77777777" w:rsidR="00AC7D48" w:rsidRPr="00F603EA" w:rsidRDefault="000173F6"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Kümülatif bedele göre ilk on ülke sıralamasında yer alan ülke isimleri 2024 yılında değişmemekle birlikte 2023 yılına göre, bu grubun içinde S. Arabistan iki basamak, Azerbaycan ise bir basamak yükselmiştir.  </w:t>
      </w:r>
      <w:r w:rsidR="00AC49E6">
        <w:rPr>
          <w:rFonts w:ascii="Times New Roman" w:hAnsi="Times New Roman" w:cs="Times New Roman"/>
          <w:sz w:val="24"/>
          <w:szCs w:val="24"/>
        </w:rPr>
        <w:t xml:space="preserve">Mesafe, tarih ve kültürel olarak yakınlığımız bulunan </w:t>
      </w:r>
      <w:r w:rsidR="00AC7D48" w:rsidRPr="0089003D">
        <w:rPr>
          <w:rFonts w:ascii="Times New Roman" w:hAnsi="Times New Roman" w:cs="Times New Roman"/>
          <w:sz w:val="24"/>
          <w:szCs w:val="24"/>
        </w:rPr>
        <w:t>komşu ve çevre ülkeler</w:t>
      </w:r>
      <w:r w:rsidR="00AC49E6">
        <w:rPr>
          <w:rFonts w:ascii="Times New Roman" w:hAnsi="Times New Roman" w:cs="Times New Roman"/>
          <w:sz w:val="24"/>
          <w:szCs w:val="24"/>
        </w:rPr>
        <w:t xml:space="preserve"> </w:t>
      </w:r>
      <w:r w:rsidR="000C390D" w:rsidRPr="0089003D">
        <w:rPr>
          <w:rFonts w:ascii="Times New Roman" w:hAnsi="Times New Roman" w:cs="Times New Roman"/>
          <w:sz w:val="24"/>
          <w:szCs w:val="24"/>
        </w:rPr>
        <w:t xml:space="preserve">Türk </w:t>
      </w:r>
      <w:r w:rsidR="000C390D">
        <w:rPr>
          <w:rFonts w:ascii="Times New Roman" w:hAnsi="Times New Roman" w:cs="Times New Roman"/>
          <w:sz w:val="24"/>
          <w:szCs w:val="24"/>
        </w:rPr>
        <w:t>m</w:t>
      </w:r>
      <w:r w:rsidR="000C390D" w:rsidRPr="0089003D">
        <w:rPr>
          <w:rFonts w:ascii="Times New Roman" w:hAnsi="Times New Roman" w:cs="Times New Roman"/>
          <w:sz w:val="24"/>
          <w:szCs w:val="24"/>
        </w:rPr>
        <w:t xml:space="preserve">üteahhitlerinin </w:t>
      </w:r>
      <w:r w:rsidR="000C390D">
        <w:rPr>
          <w:rFonts w:ascii="Times New Roman" w:hAnsi="Times New Roman" w:cs="Times New Roman"/>
          <w:sz w:val="24"/>
          <w:szCs w:val="24"/>
        </w:rPr>
        <w:t>en yoğun iş aldığı</w:t>
      </w:r>
      <w:r w:rsidR="00AC49E6">
        <w:rPr>
          <w:rFonts w:ascii="Times New Roman" w:hAnsi="Times New Roman" w:cs="Times New Roman"/>
          <w:sz w:val="24"/>
          <w:szCs w:val="24"/>
        </w:rPr>
        <w:t xml:space="preserve"> pazarlar olarak karşımıza çıkmaktadır</w:t>
      </w:r>
      <w:r w:rsidR="000C390D">
        <w:rPr>
          <w:rFonts w:ascii="Times New Roman" w:hAnsi="Times New Roman" w:cs="Times New Roman"/>
          <w:sz w:val="24"/>
          <w:szCs w:val="24"/>
        </w:rPr>
        <w:t xml:space="preserve"> </w:t>
      </w:r>
    </w:p>
    <w:p w14:paraId="2D13DBC9" w14:textId="77777777" w:rsidR="007033CF" w:rsidRDefault="007033CF" w:rsidP="00BB5CFD">
      <w:pPr>
        <w:spacing w:after="0" w:line="240" w:lineRule="auto"/>
        <w:ind w:right="5103"/>
        <w:jc w:val="both"/>
        <w:rPr>
          <w:rFonts w:ascii="Times New Roman" w:hAnsi="Times New Roman" w:cs="Times New Roman"/>
          <w:sz w:val="24"/>
          <w:szCs w:val="24"/>
        </w:rPr>
      </w:pPr>
    </w:p>
    <w:p w14:paraId="7413EA42" w14:textId="77777777" w:rsidR="00AC5ADF" w:rsidRDefault="00F55BB4" w:rsidP="00BB5CFD">
      <w:pPr>
        <w:spacing w:after="0" w:line="240" w:lineRule="auto"/>
        <w:ind w:right="-2"/>
        <w:jc w:val="both"/>
        <w:rPr>
          <w:rFonts w:ascii="Times New Roman" w:hAnsi="Times New Roman" w:cs="Times New Roman"/>
          <w:sz w:val="24"/>
          <w:szCs w:val="24"/>
        </w:rPr>
      </w:pPr>
      <w:r w:rsidRPr="00F55BB4">
        <w:rPr>
          <w:rFonts w:ascii="Times New Roman" w:hAnsi="Times New Roman" w:cs="Times New Roman"/>
          <w:sz w:val="24"/>
          <w:szCs w:val="24"/>
        </w:rPr>
        <w:lastRenderedPageBreak/>
        <w:t>20</w:t>
      </w:r>
      <w:r w:rsidR="00453968">
        <w:rPr>
          <w:rFonts w:ascii="Times New Roman" w:hAnsi="Times New Roman" w:cs="Times New Roman"/>
          <w:sz w:val="24"/>
          <w:szCs w:val="24"/>
        </w:rPr>
        <w:t>2</w:t>
      </w:r>
      <w:r w:rsidR="003F3381">
        <w:rPr>
          <w:rFonts w:ascii="Times New Roman" w:hAnsi="Times New Roman" w:cs="Times New Roman"/>
          <w:sz w:val="24"/>
          <w:szCs w:val="24"/>
        </w:rPr>
        <w:t>4</w:t>
      </w:r>
      <w:r w:rsidRPr="00F55BB4">
        <w:rPr>
          <w:rFonts w:ascii="Times New Roman" w:hAnsi="Times New Roman" w:cs="Times New Roman"/>
          <w:sz w:val="24"/>
          <w:szCs w:val="24"/>
        </w:rPr>
        <w:t xml:space="preserve"> yılında Türk müteahhitlik firmalarınca yurt dışında üstlenilen projelerin ülkelere g</w:t>
      </w:r>
      <w:r>
        <w:rPr>
          <w:rFonts w:ascii="Times New Roman" w:hAnsi="Times New Roman" w:cs="Times New Roman"/>
          <w:sz w:val="24"/>
          <w:szCs w:val="24"/>
        </w:rPr>
        <w:t>öre dağılımında ise</w:t>
      </w:r>
      <w:r w:rsidR="00816359">
        <w:rPr>
          <w:rFonts w:ascii="Times New Roman" w:hAnsi="Times New Roman" w:cs="Times New Roman"/>
          <w:sz w:val="24"/>
          <w:szCs w:val="24"/>
        </w:rPr>
        <w:t xml:space="preserve"> </w:t>
      </w:r>
      <w:r w:rsidR="003F3381">
        <w:rPr>
          <w:rFonts w:ascii="Times New Roman" w:hAnsi="Times New Roman" w:cs="Times New Roman"/>
          <w:sz w:val="24"/>
          <w:szCs w:val="24"/>
        </w:rPr>
        <w:t xml:space="preserve">S. Arabistan’ın yükselişini sürdürerek </w:t>
      </w:r>
      <w:r w:rsidR="00FE38B5">
        <w:rPr>
          <w:rFonts w:ascii="Times New Roman" w:hAnsi="Times New Roman" w:cs="Times New Roman"/>
          <w:sz w:val="24"/>
          <w:szCs w:val="24"/>
        </w:rPr>
        <w:t xml:space="preserve">ilk sıraya yerleşmiştir. </w:t>
      </w:r>
      <w:r w:rsidR="00284346">
        <w:rPr>
          <w:rFonts w:ascii="Times New Roman" w:hAnsi="Times New Roman" w:cs="Times New Roman"/>
          <w:sz w:val="24"/>
          <w:szCs w:val="24"/>
        </w:rPr>
        <w:t>E</w:t>
      </w:r>
      <w:r w:rsidR="00816359">
        <w:rPr>
          <w:rFonts w:ascii="Times New Roman" w:hAnsi="Times New Roman" w:cs="Times New Roman"/>
          <w:sz w:val="24"/>
          <w:szCs w:val="24"/>
        </w:rPr>
        <w:t>n önemli yurt</w:t>
      </w:r>
      <w:r w:rsidR="006F0CB6">
        <w:rPr>
          <w:rFonts w:ascii="Times New Roman" w:hAnsi="Times New Roman" w:cs="Times New Roman"/>
          <w:sz w:val="24"/>
          <w:szCs w:val="24"/>
        </w:rPr>
        <w:t xml:space="preserve"> </w:t>
      </w:r>
      <w:r w:rsidR="00816359">
        <w:rPr>
          <w:rFonts w:ascii="Times New Roman" w:hAnsi="Times New Roman" w:cs="Times New Roman"/>
          <w:sz w:val="24"/>
          <w:szCs w:val="24"/>
        </w:rPr>
        <w:t xml:space="preserve">dışı pazarımız olan </w:t>
      </w:r>
      <w:r w:rsidR="009D3A39">
        <w:rPr>
          <w:rFonts w:ascii="Times New Roman" w:hAnsi="Times New Roman" w:cs="Times New Roman"/>
          <w:sz w:val="24"/>
          <w:szCs w:val="24"/>
        </w:rPr>
        <w:t>Rusya Federasyonu</w:t>
      </w:r>
      <w:r w:rsidR="00284346">
        <w:rPr>
          <w:rFonts w:ascii="Times New Roman" w:hAnsi="Times New Roman" w:cs="Times New Roman"/>
          <w:sz w:val="24"/>
          <w:szCs w:val="24"/>
        </w:rPr>
        <w:t xml:space="preserve">, Ukrayna ile süren savaş hali nedeniyle sıralamada gerilere düşmüştür. Gabon ve Uganda’dan önemli projeler alınmış ve bu </w:t>
      </w:r>
      <w:r w:rsidR="00277EFF">
        <w:rPr>
          <w:rFonts w:ascii="Times New Roman" w:hAnsi="Times New Roman" w:cs="Times New Roman"/>
          <w:sz w:val="24"/>
          <w:szCs w:val="24"/>
        </w:rPr>
        <w:t xml:space="preserve">ülkeler </w:t>
      </w:r>
      <w:r w:rsidR="00580B3A">
        <w:rPr>
          <w:rFonts w:ascii="Times New Roman" w:hAnsi="Times New Roman" w:cs="Times New Roman"/>
          <w:sz w:val="24"/>
          <w:szCs w:val="24"/>
        </w:rPr>
        <w:t>ilk on sıralamasında yer almıştır.</w:t>
      </w:r>
      <w:r w:rsidR="00284346">
        <w:rPr>
          <w:rFonts w:ascii="Times New Roman" w:hAnsi="Times New Roman" w:cs="Times New Roman"/>
          <w:sz w:val="24"/>
          <w:szCs w:val="24"/>
        </w:rPr>
        <w:t xml:space="preserve"> </w:t>
      </w:r>
    </w:p>
    <w:p w14:paraId="453414E9" w14:textId="77777777" w:rsidR="005F4FC2" w:rsidRDefault="005F4FC2" w:rsidP="00BB5CFD">
      <w:pPr>
        <w:spacing w:after="0" w:line="240" w:lineRule="auto"/>
        <w:ind w:right="-2"/>
        <w:jc w:val="both"/>
        <w:rPr>
          <w:rFonts w:ascii="Times New Roman" w:hAnsi="Times New Roman" w:cs="Times New Roman"/>
          <w:sz w:val="24"/>
          <w:szCs w:val="24"/>
        </w:rPr>
      </w:pPr>
    </w:p>
    <w:tbl>
      <w:tblPr>
        <w:tblW w:w="9029" w:type="dxa"/>
        <w:tblCellMar>
          <w:left w:w="70" w:type="dxa"/>
          <w:right w:w="70" w:type="dxa"/>
        </w:tblCellMar>
        <w:tblLook w:val="04A0" w:firstRow="1" w:lastRow="0" w:firstColumn="1" w:lastColumn="0" w:noHBand="0" w:noVBand="1"/>
      </w:tblPr>
      <w:tblGrid>
        <w:gridCol w:w="3221"/>
        <w:gridCol w:w="2056"/>
        <w:gridCol w:w="3752"/>
      </w:tblGrid>
      <w:tr w:rsidR="00DA121A" w:rsidRPr="00DA121A" w14:paraId="5B61FAE8" w14:textId="77777777" w:rsidTr="00DA121A">
        <w:trPr>
          <w:trHeight w:val="572"/>
        </w:trPr>
        <w:tc>
          <w:tcPr>
            <w:tcW w:w="9029"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0B5BCA06"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2024 YILINDA EN FAZLA MÜTEAHHİTLİK İŞİ ÜSTLENİLMİŞ OLAN İLK 10 ÜLKE</w:t>
            </w:r>
          </w:p>
        </w:tc>
      </w:tr>
      <w:tr w:rsidR="00DA121A" w:rsidRPr="00DA121A" w14:paraId="6E4AF129" w14:textId="77777777" w:rsidTr="00DA121A">
        <w:trPr>
          <w:trHeight w:val="515"/>
        </w:trPr>
        <w:tc>
          <w:tcPr>
            <w:tcW w:w="3221" w:type="dxa"/>
            <w:tcBorders>
              <w:top w:val="nil"/>
              <w:left w:val="single" w:sz="4" w:space="0" w:color="auto"/>
              <w:bottom w:val="single" w:sz="4" w:space="0" w:color="auto"/>
              <w:right w:val="single" w:sz="4" w:space="0" w:color="auto"/>
            </w:tcBorders>
            <w:shd w:val="clear" w:color="000000" w:fill="99CCFF"/>
            <w:vAlign w:val="center"/>
            <w:hideMark/>
          </w:tcPr>
          <w:p w14:paraId="58E36EFF"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SIRA</w:t>
            </w:r>
          </w:p>
        </w:tc>
        <w:tc>
          <w:tcPr>
            <w:tcW w:w="2055" w:type="dxa"/>
            <w:tcBorders>
              <w:top w:val="nil"/>
              <w:left w:val="nil"/>
              <w:bottom w:val="single" w:sz="4" w:space="0" w:color="auto"/>
              <w:right w:val="single" w:sz="4" w:space="0" w:color="auto"/>
            </w:tcBorders>
            <w:shd w:val="clear" w:color="000000" w:fill="99CCFF"/>
            <w:noWrap/>
            <w:vAlign w:val="center"/>
            <w:hideMark/>
          </w:tcPr>
          <w:p w14:paraId="282608E0"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ÜLKE</w:t>
            </w:r>
          </w:p>
        </w:tc>
        <w:tc>
          <w:tcPr>
            <w:tcW w:w="3752" w:type="dxa"/>
            <w:tcBorders>
              <w:top w:val="nil"/>
              <w:left w:val="nil"/>
              <w:bottom w:val="single" w:sz="4" w:space="0" w:color="auto"/>
              <w:right w:val="single" w:sz="4" w:space="0" w:color="auto"/>
            </w:tcBorders>
            <w:shd w:val="clear" w:color="000000" w:fill="99CCFF"/>
            <w:vAlign w:val="center"/>
            <w:hideMark/>
          </w:tcPr>
          <w:p w14:paraId="562F43DA"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PROJE BEDELİ (USD)</w:t>
            </w:r>
          </w:p>
        </w:tc>
      </w:tr>
      <w:tr w:rsidR="00DA121A" w:rsidRPr="00DA121A" w14:paraId="74C6CF19" w14:textId="77777777" w:rsidTr="00DA121A">
        <w:trPr>
          <w:trHeight w:val="572"/>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4C12B279"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w:t>
            </w:r>
          </w:p>
        </w:tc>
        <w:tc>
          <w:tcPr>
            <w:tcW w:w="2055" w:type="dxa"/>
            <w:tcBorders>
              <w:top w:val="nil"/>
              <w:left w:val="nil"/>
              <w:bottom w:val="single" w:sz="4" w:space="0" w:color="auto"/>
              <w:right w:val="single" w:sz="4" w:space="0" w:color="auto"/>
            </w:tcBorders>
            <w:shd w:val="clear" w:color="auto" w:fill="auto"/>
            <w:noWrap/>
            <w:vAlign w:val="center"/>
            <w:hideMark/>
          </w:tcPr>
          <w:p w14:paraId="04559A1C"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S.ARABİSTAN</w:t>
            </w:r>
          </w:p>
        </w:tc>
        <w:tc>
          <w:tcPr>
            <w:tcW w:w="3752"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6305E8F4"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5.757.287.931</w:t>
            </w:r>
          </w:p>
        </w:tc>
      </w:tr>
      <w:tr w:rsidR="00DA121A" w:rsidRPr="00DA121A" w14:paraId="613CE112" w14:textId="77777777" w:rsidTr="00DA121A">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A03F8F5"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w:t>
            </w:r>
          </w:p>
        </w:tc>
        <w:tc>
          <w:tcPr>
            <w:tcW w:w="2055" w:type="dxa"/>
            <w:tcBorders>
              <w:top w:val="nil"/>
              <w:left w:val="nil"/>
              <w:bottom w:val="single" w:sz="4" w:space="0" w:color="auto"/>
              <w:right w:val="single" w:sz="4" w:space="0" w:color="auto"/>
            </w:tcBorders>
            <w:shd w:val="clear" w:color="auto" w:fill="auto"/>
            <w:noWrap/>
            <w:vAlign w:val="center"/>
            <w:hideMark/>
          </w:tcPr>
          <w:p w14:paraId="557280AE"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BAE</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24BF7D76"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5.172.155.913</w:t>
            </w:r>
          </w:p>
        </w:tc>
      </w:tr>
      <w:tr w:rsidR="00DA121A" w:rsidRPr="00DA121A" w14:paraId="51FD927F" w14:textId="77777777" w:rsidTr="00DA121A">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77935B22"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w:t>
            </w:r>
          </w:p>
        </w:tc>
        <w:tc>
          <w:tcPr>
            <w:tcW w:w="2055" w:type="dxa"/>
            <w:tcBorders>
              <w:top w:val="nil"/>
              <w:left w:val="nil"/>
              <w:bottom w:val="single" w:sz="4" w:space="0" w:color="auto"/>
              <w:right w:val="single" w:sz="4" w:space="0" w:color="auto"/>
            </w:tcBorders>
            <w:shd w:val="clear" w:color="auto" w:fill="auto"/>
            <w:noWrap/>
            <w:vAlign w:val="center"/>
            <w:hideMark/>
          </w:tcPr>
          <w:p w14:paraId="6B1C2142"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UGANDA</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3134CF33"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3.061.683.006</w:t>
            </w:r>
          </w:p>
        </w:tc>
      </w:tr>
      <w:tr w:rsidR="00DA121A" w:rsidRPr="00DA121A" w14:paraId="22B4526A" w14:textId="77777777" w:rsidTr="00DA121A">
        <w:trPr>
          <w:trHeight w:val="358"/>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7E9EA1B"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4</w:t>
            </w:r>
          </w:p>
        </w:tc>
        <w:tc>
          <w:tcPr>
            <w:tcW w:w="2055" w:type="dxa"/>
            <w:tcBorders>
              <w:top w:val="nil"/>
              <w:left w:val="nil"/>
              <w:bottom w:val="single" w:sz="4" w:space="0" w:color="auto"/>
              <w:right w:val="single" w:sz="4" w:space="0" w:color="auto"/>
            </w:tcBorders>
            <w:shd w:val="clear" w:color="auto" w:fill="auto"/>
            <w:noWrap/>
            <w:vAlign w:val="center"/>
            <w:hideMark/>
          </w:tcPr>
          <w:p w14:paraId="33C6CABA"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GABON</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6C5C0EE5"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2.159.728.554</w:t>
            </w:r>
          </w:p>
        </w:tc>
      </w:tr>
      <w:tr w:rsidR="00DA121A" w:rsidRPr="00DA121A" w14:paraId="65BCDBC7" w14:textId="77777777" w:rsidTr="00DA121A">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7ACA83A5"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5</w:t>
            </w:r>
          </w:p>
        </w:tc>
        <w:tc>
          <w:tcPr>
            <w:tcW w:w="2055" w:type="dxa"/>
            <w:tcBorders>
              <w:top w:val="nil"/>
              <w:left w:val="nil"/>
              <w:bottom w:val="single" w:sz="4" w:space="0" w:color="auto"/>
              <w:right w:val="single" w:sz="4" w:space="0" w:color="auto"/>
            </w:tcBorders>
            <w:shd w:val="clear" w:color="auto" w:fill="auto"/>
            <w:noWrap/>
            <w:vAlign w:val="center"/>
            <w:hideMark/>
          </w:tcPr>
          <w:p w14:paraId="46295AA9"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CEZAYİR</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3B87D9D7"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1.687.338.630</w:t>
            </w:r>
          </w:p>
        </w:tc>
      </w:tr>
      <w:tr w:rsidR="00DA121A" w:rsidRPr="00DA121A" w14:paraId="5C1ADE49" w14:textId="77777777" w:rsidTr="00DA121A">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194856DC"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6</w:t>
            </w:r>
          </w:p>
        </w:tc>
        <w:tc>
          <w:tcPr>
            <w:tcW w:w="2055" w:type="dxa"/>
            <w:tcBorders>
              <w:top w:val="nil"/>
              <w:left w:val="nil"/>
              <w:bottom w:val="single" w:sz="4" w:space="0" w:color="auto"/>
              <w:right w:val="single" w:sz="4" w:space="0" w:color="auto"/>
            </w:tcBorders>
            <w:shd w:val="clear" w:color="auto" w:fill="auto"/>
            <w:noWrap/>
            <w:vAlign w:val="center"/>
            <w:hideMark/>
          </w:tcPr>
          <w:p w14:paraId="0738E92D"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KAZAKİSTAN</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2D56201E"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1.567.003.520</w:t>
            </w:r>
          </w:p>
        </w:tc>
      </w:tr>
      <w:tr w:rsidR="00DA121A" w:rsidRPr="00DA121A" w14:paraId="36C472BE" w14:textId="77777777" w:rsidTr="00DA121A">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DCE89FD"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7</w:t>
            </w:r>
          </w:p>
        </w:tc>
        <w:tc>
          <w:tcPr>
            <w:tcW w:w="2055" w:type="dxa"/>
            <w:tcBorders>
              <w:top w:val="nil"/>
              <w:left w:val="nil"/>
              <w:bottom w:val="single" w:sz="4" w:space="0" w:color="auto"/>
              <w:right w:val="single" w:sz="4" w:space="0" w:color="auto"/>
            </w:tcBorders>
            <w:shd w:val="clear" w:color="auto" w:fill="auto"/>
            <w:noWrap/>
            <w:vAlign w:val="center"/>
            <w:hideMark/>
          </w:tcPr>
          <w:p w14:paraId="47905EDD"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POLONYA</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089427B8"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1.516.293.553</w:t>
            </w:r>
          </w:p>
        </w:tc>
      </w:tr>
      <w:tr w:rsidR="00DA121A" w:rsidRPr="00DA121A" w14:paraId="617CCCA7" w14:textId="77777777" w:rsidTr="00DA121A">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2972C601"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8</w:t>
            </w:r>
          </w:p>
        </w:tc>
        <w:tc>
          <w:tcPr>
            <w:tcW w:w="2055" w:type="dxa"/>
            <w:tcBorders>
              <w:top w:val="nil"/>
              <w:left w:val="nil"/>
              <w:bottom w:val="single" w:sz="4" w:space="0" w:color="auto"/>
              <w:right w:val="single" w:sz="4" w:space="0" w:color="auto"/>
            </w:tcBorders>
            <w:shd w:val="clear" w:color="auto" w:fill="auto"/>
            <w:noWrap/>
            <w:vAlign w:val="center"/>
            <w:hideMark/>
          </w:tcPr>
          <w:p w14:paraId="3322EC2E"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ROMANYA</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5DCB760E"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1.104.756.674</w:t>
            </w:r>
          </w:p>
        </w:tc>
      </w:tr>
      <w:tr w:rsidR="00DA121A" w:rsidRPr="00DA121A" w14:paraId="419A473A" w14:textId="77777777" w:rsidTr="00DA121A">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0BC40D25"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9</w:t>
            </w:r>
          </w:p>
        </w:tc>
        <w:tc>
          <w:tcPr>
            <w:tcW w:w="2055" w:type="dxa"/>
            <w:tcBorders>
              <w:top w:val="nil"/>
              <w:left w:val="nil"/>
              <w:bottom w:val="single" w:sz="4" w:space="0" w:color="auto"/>
              <w:right w:val="single" w:sz="4" w:space="0" w:color="auto"/>
            </w:tcBorders>
            <w:shd w:val="clear" w:color="auto" w:fill="auto"/>
            <w:noWrap/>
            <w:vAlign w:val="center"/>
            <w:hideMark/>
          </w:tcPr>
          <w:p w14:paraId="7B38FC2F"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ÖZBEKİSTAN</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542F9CAC"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1.050.367.664</w:t>
            </w:r>
          </w:p>
        </w:tc>
      </w:tr>
      <w:tr w:rsidR="00DA121A" w:rsidRPr="00DA121A" w14:paraId="7D28CE5D" w14:textId="77777777" w:rsidTr="00DA121A">
        <w:trPr>
          <w:trHeight w:val="315"/>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14:paraId="56AB669E"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10</w:t>
            </w:r>
          </w:p>
        </w:tc>
        <w:tc>
          <w:tcPr>
            <w:tcW w:w="2055" w:type="dxa"/>
            <w:tcBorders>
              <w:top w:val="nil"/>
              <w:left w:val="nil"/>
              <w:bottom w:val="single" w:sz="4" w:space="0" w:color="auto"/>
              <w:right w:val="single" w:sz="4" w:space="0" w:color="auto"/>
            </w:tcBorders>
            <w:shd w:val="clear" w:color="auto" w:fill="auto"/>
            <w:noWrap/>
            <w:vAlign w:val="center"/>
            <w:hideMark/>
          </w:tcPr>
          <w:p w14:paraId="088CA07B"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IRAK</w:t>
            </w:r>
          </w:p>
        </w:tc>
        <w:tc>
          <w:tcPr>
            <w:tcW w:w="3752" w:type="dxa"/>
            <w:tcBorders>
              <w:top w:val="nil"/>
              <w:left w:val="single" w:sz="4" w:space="0" w:color="333399"/>
              <w:bottom w:val="single" w:sz="4" w:space="0" w:color="333399"/>
              <w:right w:val="single" w:sz="4" w:space="0" w:color="333399"/>
            </w:tcBorders>
            <w:shd w:val="clear" w:color="auto" w:fill="auto"/>
            <w:noWrap/>
            <w:vAlign w:val="center"/>
            <w:hideMark/>
          </w:tcPr>
          <w:p w14:paraId="15F54370"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927.370.135</w:t>
            </w:r>
          </w:p>
        </w:tc>
      </w:tr>
      <w:tr w:rsidR="00DA121A" w:rsidRPr="00DA121A" w14:paraId="5D81DE2F" w14:textId="77777777" w:rsidTr="00DA121A">
        <w:trPr>
          <w:trHeight w:val="386"/>
        </w:trPr>
        <w:tc>
          <w:tcPr>
            <w:tcW w:w="5277"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hideMark/>
          </w:tcPr>
          <w:p w14:paraId="2181CC35"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DİĞERLERİ</w:t>
            </w:r>
          </w:p>
        </w:tc>
        <w:tc>
          <w:tcPr>
            <w:tcW w:w="3752" w:type="dxa"/>
            <w:tcBorders>
              <w:top w:val="nil"/>
              <w:left w:val="nil"/>
              <w:bottom w:val="single" w:sz="4" w:space="0" w:color="333399"/>
              <w:right w:val="single" w:sz="4" w:space="0" w:color="333399"/>
            </w:tcBorders>
            <w:shd w:val="clear" w:color="auto" w:fill="auto"/>
            <w:noWrap/>
            <w:vAlign w:val="center"/>
            <w:hideMark/>
          </w:tcPr>
          <w:p w14:paraId="0B83E200"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6.177.632.224</w:t>
            </w:r>
          </w:p>
        </w:tc>
      </w:tr>
      <w:tr w:rsidR="00DA121A" w:rsidRPr="00DA121A" w14:paraId="05456C34" w14:textId="77777777" w:rsidTr="00DA121A">
        <w:trPr>
          <w:trHeight w:val="315"/>
        </w:trPr>
        <w:tc>
          <w:tcPr>
            <w:tcW w:w="5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359627"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TOPLAM</w:t>
            </w:r>
          </w:p>
        </w:tc>
        <w:tc>
          <w:tcPr>
            <w:tcW w:w="3752" w:type="dxa"/>
            <w:tcBorders>
              <w:top w:val="nil"/>
              <w:left w:val="single" w:sz="4" w:space="0" w:color="333399"/>
              <w:bottom w:val="single" w:sz="4" w:space="0" w:color="333399"/>
              <w:right w:val="single" w:sz="4" w:space="0" w:color="333399"/>
            </w:tcBorders>
            <w:shd w:val="clear" w:color="auto" w:fill="auto"/>
            <w:noWrap/>
            <w:vAlign w:val="bottom"/>
            <w:hideMark/>
          </w:tcPr>
          <w:p w14:paraId="54CE3148"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30.181.617.805</w:t>
            </w:r>
          </w:p>
        </w:tc>
      </w:tr>
    </w:tbl>
    <w:p w14:paraId="504DF94D" w14:textId="77777777" w:rsidR="00114C5F" w:rsidRDefault="00114C5F" w:rsidP="00BB5CFD">
      <w:pPr>
        <w:spacing w:after="0" w:line="240" w:lineRule="auto"/>
        <w:ind w:right="5103"/>
        <w:jc w:val="both"/>
        <w:rPr>
          <w:rFonts w:ascii="Times New Roman" w:hAnsi="Times New Roman" w:cs="Times New Roman"/>
          <w:sz w:val="24"/>
          <w:szCs w:val="24"/>
        </w:rPr>
      </w:pPr>
    </w:p>
    <w:p w14:paraId="5A61E938" w14:textId="77777777" w:rsidR="00F603EA" w:rsidRDefault="00F603EA" w:rsidP="00BB5CFD">
      <w:pPr>
        <w:spacing w:after="0" w:line="240" w:lineRule="auto"/>
        <w:rPr>
          <w:rFonts w:ascii="Times New Roman" w:hAnsi="Times New Roman" w:cs="Times New Roman"/>
          <w:b/>
          <w:sz w:val="24"/>
          <w:szCs w:val="24"/>
        </w:rPr>
      </w:pPr>
    </w:p>
    <w:p w14:paraId="793CF8E9" w14:textId="77777777" w:rsidR="00FD57E7" w:rsidRPr="00F603EA" w:rsidRDefault="00605A4F" w:rsidP="00F603EA">
      <w:pPr>
        <w:pStyle w:val="ListeParagraf"/>
        <w:numPr>
          <w:ilvl w:val="0"/>
          <w:numId w:val="2"/>
        </w:numPr>
        <w:spacing w:after="0" w:line="240" w:lineRule="auto"/>
        <w:rPr>
          <w:rFonts w:ascii="Times New Roman" w:hAnsi="Times New Roman" w:cs="Times New Roman"/>
          <w:b/>
          <w:sz w:val="24"/>
          <w:szCs w:val="24"/>
        </w:rPr>
      </w:pPr>
      <w:r w:rsidRPr="00F603EA">
        <w:rPr>
          <w:rFonts w:ascii="Times New Roman" w:hAnsi="Times New Roman" w:cs="Times New Roman"/>
          <w:b/>
          <w:sz w:val="24"/>
          <w:szCs w:val="24"/>
        </w:rPr>
        <w:t>SEKTÖREL DAĞILIM</w:t>
      </w:r>
    </w:p>
    <w:p w14:paraId="3325EE3E" w14:textId="77777777" w:rsidR="00F603EA" w:rsidRPr="00F603EA" w:rsidRDefault="00F603EA" w:rsidP="00F603EA">
      <w:pPr>
        <w:pStyle w:val="ListeParagraf"/>
        <w:spacing w:after="0" w:line="240" w:lineRule="auto"/>
        <w:rPr>
          <w:rFonts w:ascii="Times New Roman" w:hAnsi="Times New Roman" w:cs="Times New Roman"/>
          <w:b/>
          <w:sz w:val="24"/>
          <w:szCs w:val="24"/>
        </w:rPr>
      </w:pPr>
    </w:p>
    <w:p w14:paraId="760A3E51" w14:textId="1C3A2FD0" w:rsidR="00F603EA" w:rsidRDefault="00F31717" w:rsidP="00BB5CFD">
      <w:pPr>
        <w:spacing w:after="0" w:line="240" w:lineRule="auto"/>
        <w:jc w:val="both"/>
        <w:rPr>
          <w:rFonts w:ascii="Times New Roman" w:hAnsi="Times New Roman" w:cs="Times New Roman"/>
          <w:sz w:val="24"/>
          <w:szCs w:val="24"/>
        </w:rPr>
      </w:pPr>
      <w:r w:rsidRPr="00704948">
        <w:rPr>
          <w:rFonts w:ascii="Times New Roman" w:hAnsi="Times New Roman" w:cs="Times New Roman"/>
          <w:sz w:val="24"/>
          <w:szCs w:val="24"/>
        </w:rPr>
        <w:t xml:space="preserve">1972 yılından günümüze en çok proje üstlenilen sektörlerin dağılımında ilk 5 sıraya bakıldığında, </w:t>
      </w:r>
      <w:r w:rsidR="00CD7A49" w:rsidRPr="00CD7A49">
        <w:rPr>
          <w:rFonts w:ascii="Times New Roman" w:hAnsi="Times New Roman" w:cs="Times New Roman"/>
          <w:sz w:val="24"/>
          <w:szCs w:val="24"/>
        </w:rPr>
        <w:t xml:space="preserve">Karayolu / Tünel / Köprüler </w:t>
      </w:r>
      <w:r w:rsidRPr="00704948">
        <w:rPr>
          <w:rFonts w:ascii="Times New Roman" w:hAnsi="Times New Roman" w:cs="Times New Roman"/>
          <w:sz w:val="24"/>
          <w:szCs w:val="24"/>
        </w:rPr>
        <w:t>%1</w:t>
      </w:r>
      <w:r w:rsidR="00DA121A">
        <w:rPr>
          <w:rFonts w:ascii="Times New Roman" w:hAnsi="Times New Roman" w:cs="Times New Roman"/>
          <w:sz w:val="24"/>
          <w:szCs w:val="24"/>
        </w:rPr>
        <w:t>4</w:t>
      </w:r>
      <w:r w:rsidRPr="00704948">
        <w:rPr>
          <w:rFonts w:ascii="Times New Roman" w:hAnsi="Times New Roman" w:cs="Times New Roman"/>
          <w:sz w:val="24"/>
          <w:szCs w:val="24"/>
        </w:rPr>
        <w:t>,</w:t>
      </w:r>
      <w:r w:rsidR="00DA121A">
        <w:rPr>
          <w:rFonts w:ascii="Times New Roman" w:hAnsi="Times New Roman" w:cs="Times New Roman"/>
          <w:sz w:val="24"/>
          <w:szCs w:val="24"/>
        </w:rPr>
        <w:t>1</w:t>
      </w:r>
      <w:r w:rsidRPr="00704948">
        <w:rPr>
          <w:rFonts w:ascii="Times New Roman" w:hAnsi="Times New Roman" w:cs="Times New Roman"/>
          <w:sz w:val="24"/>
          <w:szCs w:val="24"/>
        </w:rPr>
        <w:t>’</w:t>
      </w:r>
      <w:r w:rsidR="00DA121A">
        <w:rPr>
          <w:rFonts w:ascii="Times New Roman" w:hAnsi="Times New Roman" w:cs="Times New Roman"/>
          <w:sz w:val="24"/>
          <w:szCs w:val="24"/>
        </w:rPr>
        <w:t>lik</w:t>
      </w:r>
      <w:r w:rsidRPr="00704948">
        <w:rPr>
          <w:rFonts w:ascii="Times New Roman" w:hAnsi="Times New Roman" w:cs="Times New Roman"/>
          <w:sz w:val="24"/>
          <w:szCs w:val="24"/>
        </w:rPr>
        <w:t xml:space="preserve"> pay ile ilk sırada yer almaktadır. Ardından sırasıyla; </w:t>
      </w:r>
      <w:r w:rsidR="00CD7A49" w:rsidRPr="00CD7A49">
        <w:rPr>
          <w:rFonts w:ascii="Times New Roman" w:hAnsi="Times New Roman" w:cs="Times New Roman"/>
          <w:sz w:val="24"/>
          <w:szCs w:val="24"/>
        </w:rPr>
        <w:t xml:space="preserve">Konut ve Rezidans projeleri </w:t>
      </w:r>
      <w:r w:rsidR="00CD7A49">
        <w:rPr>
          <w:rFonts w:ascii="Times New Roman" w:hAnsi="Times New Roman" w:cs="Times New Roman"/>
          <w:sz w:val="24"/>
          <w:szCs w:val="24"/>
        </w:rPr>
        <w:t xml:space="preserve">Enerji Santrali, </w:t>
      </w:r>
      <w:r w:rsidR="00DA121A">
        <w:rPr>
          <w:rFonts w:ascii="Times New Roman" w:hAnsi="Times New Roman" w:cs="Times New Roman"/>
          <w:sz w:val="24"/>
          <w:szCs w:val="24"/>
        </w:rPr>
        <w:t>Demiryolu ve</w:t>
      </w:r>
      <w:r w:rsidRPr="00704948">
        <w:rPr>
          <w:rFonts w:ascii="Times New Roman" w:hAnsi="Times New Roman" w:cs="Times New Roman"/>
          <w:sz w:val="24"/>
          <w:szCs w:val="24"/>
        </w:rPr>
        <w:t xml:space="preserve"> </w:t>
      </w:r>
      <w:r w:rsidR="005B1B16">
        <w:rPr>
          <w:rFonts w:ascii="Times New Roman" w:hAnsi="Times New Roman" w:cs="Times New Roman"/>
          <w:sz w:val="24"/>
          <w:szCs w:val="24"/>
        </w:rPr>
        <w:t>Ticaret Merkezleri</w:t>
      </w:r>
      <w:r w:rsidRPr="00704948">
        <w:rPr>
          <w:rFonts w:ascii="Times New Roman" w:hAnsi="Times New Roman" w:cs="Times New Roman"/>
          <w:sz w:val="24"/>
          <w:szCs w:val="24"/>
        </w:rPr>
        <w:t xml:space="preserve"> gelmektedir.</w:t>
      </w:r>
    </w:p>
    <w:p w14:paraId="13443C26" w14:textId="3BC43600" w:rsidR="00DA121A" w:rsidRDefault="00DA121A" w:rsidP="00BB5CFD">
      <w:pPr>
        <w:spacing w:after="0" w:line="240" w:lineRule="auto"/>
        <w:jc w:val="both"/>
        <w:rPr>
          <w:rFonts w:ascii="Times New Roman" w:hAnsi="Times New Roman" w:cs="Times New Roman"/>
          <w:sz w:val="24"/>
          <w:szCs w:val="24"/>
        </w:rPr>
      </w:pPr>
    </w:p>
    <w:tbl>
      <w:tblPr>
        <w:tblW w:w="9049" w:type="dxa"/>
        <w:tblCellMar>
          <w:left w:w="70" w:type="dxa"/>
          <w:right w:w="70" w:type="dxa"/>
        </w:tblCellMar>
        <w:tblLook w:val="04A0" w:firstRow="1" w:lastRow="0" w:firstColumn="1" w:lastColumn="0" w:noHBand="0" w:noVBand="1"/>
      </w:tblPr>
      <w:tblGrid>
        <w:gridCol w:w="1563"/>
        <w:gridCol w:w="4126"/>
        <w:gridCol w:w="2228"/>
        <w:gridCol w:w="1132"/>
      </w:tblGrid>
      <w:tr w:rsidR="00DA121A" w:rsidRPr="00DA121A" w14:paraId="20D5B579" w14:textId="77777777" w:rsidTr="009C2ED6">
        <w:trPr>
          <w:trHeight w:val="466"/>
        </w:trPr>
        <w:tc>
          <w:tcPr>
            <w:tcW w:w="9049" w:type="dxa"/>
            <w:gridSpan w:val="4"/>
            <w:tcBorders>
              <w:top w:val="single" w:sz="4" w:space="0" w:color="333399"/>
              <w:left w:val="single" w:sz="4" w:space="0" w:color="333399"/>
              <w:bottom w:val="single" w:sz="4" w:space="0" w:color="333399"/>
              <w:right w:val="single" w:sz="4" w:space="0" w:color="333399"/>
            </w:tcBorders>
            <w:shd w:val="clear" w:color="000000" w:fill="99CCFF"/>
            <w:vAlign w:val="center"/>
          </w:tcPr>
          <w:p w14:paraId="0F35DFC1" w14:textId="29B9F3CA"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SEKTÖREL DAĞILIM (1972-2025)</w:t>
            </w:r>
          </w:p>
        </w:tc>
      </w:tr>
      <w:tr w:rsidR="00DA121A" w:rsidRPr="00DA121A" w14:paraId="5148FC65" w14:textId="77777777" w:rsidTr="00DA121A">
        <w:trPr>
          <w:trHeight w:val="466"/>
        </w:trPr>
        <w:tc>
          <w:tcPr>
            <w:tcW w:w="1563" w:type="dxa"/>
            <w:tcBorders>
              <w:top w:val="single" w:sz="4" w:space="0" w:color="333399"/>
              <w:left w:val="single" w:sz="4" w:space="0" w:color="333399"/>
              <w:bottom w:val="single" w:sz="4" w:space="0" w:color="333399"/>
              <w:right w:val="single" w:sz="4" w:space="0" w:color="333399"/>
            </w:tcBorders>
            <w:shd w:val="clear" w:color="000000" w:fill="99CCFF"/>
            <w:vAlign w:val="center"/>
          </w:tcPr>
          <w:p w14:paraId="5C5E5004" w14:textId="1B2F0C28"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SIRA</w:t>
            </w:r>
          </w:p>
        </w:tc>
        <w:tc>
          <w:tcPr>
            <w:tcW w:w="4126" w:type="dxa"/>
            <w:tcBorders>
              <w:top w:val="single" w:sz="4" w:space="0" w:color="333399"/>
              <w:left w:val="nil"/>
              <w:bottom w:val="single" w:sz="4" w:space="0" w:color="333399"/>
              <w:right w:val="single" w:sz="4" w:space="0" w:color="333399"/>
            </w:tcBorders>
            <w:shd w:val="clear" w:color="000000" w:fill="99CCFF"/>
            <w:noWrap/>
            <w:vAlign w:val="center"/>
          </w:tcPr>
          <w:p w14:paraId="29308C49" w14:textId="76F22036"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FAALİYET ALANI</w:t>
            </w:r>
          </w:p>
        </w:tc>
        <w:tc>
          <w:tcPr>
            <w:tcW w:w="2228" w:type="dxa"/>
            <w:tcBorders>
              <w:top w:val="single" w:sz="4" w:space="0" w:color="333399"/>
              <w:left w:val="nil"/>
              <w:bottom w:val="single" w:sz="4" w:space="0" w:color="333399"/>
              <w:right w:val="single" w:sz="4" w:space="0" w:color="333399"/>
            </w:tcBorders>
            <w:shd w:val="clear" w:color="000000" w:fill="99CCFF"/>
            <w:vAlign w:val="center"/>
          </w:tcPr>
          <w:p w14:paraId="46829666" w14:textId="41CAB4F9"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PROJE BEDELİ (USD)</w:t>
            </w:r>
          </w:p>
        </w:tc>
        <w:tc>
          <w:tcPr>
            <w:tcW w:w="1132" w:type="dxa"/>
            <w:tcBorders>
              <w:top w:val="single" w:sz="4" w:space="0" w:color="333399"/>
              <w:left w:val="nil"/>
              <w:bottom w:val="single" w:sz="4" w:space="0" w:color="333399"/>
              <w:right w:val="single" w:sz="4" w:space="0" w:color="333399"/>
            </w:tcBorders>
            <w:shd w:val="clear" w:color="000000" w:fill="99CCFF"/>
            <w:vAlign w:val="center"/>
          </w:tcPr>
          <w:p w14:paraId="1AD0A4A5" w14:textId="188D89F4"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PAY</w:t>
            </w:r>
          </w:p>
        </w:tc>
      </w:tr>
      <w:tr w:rsidR="00DA121A" w:rsidRPr="00DA121A" w14:paraId="44D63B38" w14:textId="77777777" w:rsidTr="00DA121A">
        <w:trPr>
          <w:trHeight w:val="296"/>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419FABF0"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w:t>
            </w:r>
          </w:p>
        </w:tc>
        <w:tc>
          <w:tcPr>
            <w:tcW w:w="4126" w:type="dxa"/>
            <w:tcBorders>
              <w:top w:val="nil"/>
              <w:left w:val="nil"/>
              <w:bottom w:val="single" w:sz="4" w:space="0" w:color="333399"/>
              <w:right w:val="single" w:sz="4" w:space="0" w:color="333399"/>
            </w:tcBorders>
            <w:shd w:val="clear" w:color="auto" w:fill="auto"/>
            <w:noWrap/>
            <w:vAlign w:val="center"/>
            <w:hideMark/>
          </w:tcPr>
          <w:p w14:paraId="2593ECE2"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KARAYOLU/TÜNEL/KÖPRÜ</w:t>
            </w:r>
          </w:p>
        </w:tc>
        <w:tc>
          <w:tcPr>
            <w:tcW w:w="2228" w:type="dxa"/>
            <w:tcBorders>
              <w:top w:val="nil"/>
              <w:left w:val="nil"/>
              <w:bottom w:val="single" w:sz="4" w:space="0" w:color="333399"/>
              <w:right w:val="single" w:sz="4" w:space="0" w:color="333399"/>
            </w:tcBorders>
            <w:shd w:val="clear" w:color="auto" w:fill="auto"/>
            <w:noWrap/>
            <w:vAlign w:val="center"/>
            <w:hideMark/>
          </w:tcPr>
          <w:p w14:paraId="36F353A6"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76.231.459.771</w:t>
            </w:r>
          </w:p>
        </w:tc>
        <w:tc>
          <w:tcPr>
            <w:tcW w:w="1132" w:type="dxa"/>
            <w:tcBorders>
              <w:top w:val="nil"/>
              <w:left w:val="nil"/>
              <w:bottom w:val="single" w:sz="4" w:space="0" w:color="333399"/>
              <w:right w:val="single" w:sz="4" w:space="0" w:color="333399"/>
            </w:tcBorders>
            <w:shd w:val="clear" w:color="auto" w:fill="auto"/>
            <w:noWrap/>
            <w:vAlign w:val="center"/>
            <w:hideMark/>
          </w:tcPr>
          <w:p w14:paraId="2FDCCDF7"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14,1%</w:t>
            </w:r>
          </w:p>
        </w:tc>
      </w:tr>
      <w:tr w:rsidR="00DA121A" w:rsidRPr="00DA121A" w14:paraId="2ECBED52" w14:textId="77777777" w:rsidTr="00DA121A">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9AABFEA"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w:t>
            </w:r>
          </w:p>
        </w:tc>
        <w:tc>
          <w:tcPr>
            <w:tcW w:w="4126" w:type="dxa"/>
            <w:tcBorders>
              <w:top w:val="nil"/>
              <w:left w:val="nil"/>
              <w:bottom w:val="single" w:sz="4" w:space="0" w:color="333399"/>
              <w:right w:val="single" w:sz="4" w:space="0" w:color="333399"/>
            </w:tcBorders>
            <w:shd w:val="clear" w:color="auto" w:fill="auto"/>
            <w:noWrap/>
            <w:vAlign w:val="center"/>
            <w:hideMark/>
          </w:tcPr>
          <w:p w14:paraId="5691556A"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KONUT</w:t>
            </w:r>
          </w:p>
        </w:tc>
        <w:tc>
          <w:tcPr>
            <w:tcW w:w="2228" w:type="dxa"/>
            <w:tcBorders>
              <w:top w:val="nil"/>
              <w:left w:val="nil"/>
              <w:bottom w:val="single" w:sz="4" w:space="0" w:color="333399"/>
              <w:right w:val="single" w:sz="4" w:space="0" w:color="333399"/>
            </w:tcBorders>
            <w:shd w:val="clear" w:color="auto" w:fill="auto"/>
            <w:noWrap/>
            <w:vAlign w:val="center"/>
            <w:hideMark/>
          </w:tcPr>
          <w:p w14:paraId="2086A272"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72.072.191.784</w:t>
            </w:r>
          </w:p>
        </w:tc>
        <w:tc>
          <w:tcPr>
            <w:tcW w:w="1132" w:type="dxa"/>
            <w:tcBorders>
              <w:top w:val="nil"/>
              <w:left w:val="nil"/>
              <w:bottom w:val="single" w:sz="4" w:space="0" w:color="333399"/>
              <w:right w:val="single" w:sz="4" w:space="0" w:color="333399"/>
            </w:tcBorders>
            <w:shd w:val="clear" w:color="auto" w:fill="auto"/>
            <w:noWrap/>
            <w:vAlign w:val="center"/>
            <w:hideMark/>
          </w:tcPr>
          <w:p w14:paraId="6812A835"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13,4%</w:t>
            </w:r>
          </w:p>
        </w:tc>
      </w:tr>
      <w:tr w:rsidR="00DA121A" w:rsidRPr="00DA121A" w14:paraId="6D337B7A" w14:textId="77777777" w:rsidTr="00DA121A">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05C2420"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w:t>
            </w:r>
          </w:p>
        </w:tc>
        <w:tc>
          <w:tcPr>
            <w:tcW w:w="4126" w:type="dxa"/>
            <w:tcBorders>
              <w:top w:val="nil"/>
              <w:left w:val="nil"/>
              <w:bottom w:val="single" w:sz="4" w:space="0" w:color="333399"/>
              <w:right w:val="single" w:sz="4" w:space="0" w:color="333399"/>
            </w:tcBorders>
            <w:shd w:val="clear" w:color="auto" w:fill="auto"/>
            <w:noWrap/>
            <w:vAlign w:val="center"/>
            <w:hideMark/>
          </w:tcPr>
          <w:p w14:paraId="49E2C873"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ENERJİ SANTRALİ</w:t>
            </w:r>
          </w:p>
        </w:tc>
        <w:tc>
          <w:tcPr>
            <w:tcW w:w="2228" w:type="dxa"/>
            <w:tcBorders>
              <w:top w:val="nil"/>
              <w:left w:val="nil"/>
              <w:bottom w:val="single" w:sz="4" w:space="0" w:color="333399"/>
              <w:right w:val="single" w:sz="4" w:space="0" w:color="333399"/>
            </w:tcBorders>
            <w:shd w:val="clear" w:color="auto" w:fill="auto"/>
            <w:noWrap/>
            <w:vAlign w:val="center"/>
            <w:hideMark/>
          </w:tcPr>
          <w:p w14:paraId="1C30C20A"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45.611.667.867</w:t>
            </w:r>
          </w:p>
        </w:tc>
        <w:tc>
          <w:tcPr>
            <w:tcW w:w="1132" w:type="dxa"/>
            <w:tcBorders>
              <w:top w:val="nil"/>
              <w:left w:val="nil"/>
              <w:bottom w:val="single" w:sz="4" w:space="0" w:color="333399"/>
              <w:right w:val="single" w:sz="4" w:space="0" w:color="333399"/>
            </w:tcBorders>
            <w:shd w:val="clear" w:color="auto" w:fill="auto"/>
            <w:noWrap/>
            <w:vAlign w:val="center"/>
            <w:hideMark/>
          </w:tcPr>
          <w:p w14:paraId="1590C071"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8,5%</w:t>
            </w:r>
          </w:p>
        </w:tc>
      </w:tr>
      <w:tr w:rsidR="00DA121A" w:rsidRPr="00DA121A" w14:paraId="0FA31214" w14:textId="77777777" w:rsidTr="00DA121A">
        <w:trPr>
          <w:trHeight w:val="338"/>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6B14DBA6"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4</w:t>
            </w:r>
          </w:p>
        </w:tc>
        <w:tc>
          <w:tcPr>
            <w:tcW w:w="4126" w:type="dxa"/>
            <w:tcBorders>
              <w:top w:val="nil"/>
              <w:left w:val="nil"/>
              <w:bottom w:val="single" w:sz="4" w:space="0" w:color="333399"/>
              <w:right w:val="single" w:sz="4" w:space="0" w:color="333399"/>
            </w:tcBorders>
            <w:shd w:val="clear" w:color="auto" w:fill="auto"/>
            <w:noWrap/>
            <w:vAlign w:val="center"/>
            <w:hideMark/>
          </w:tcPr>
          <w:p w14:paraId="1A3B518A"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DEMİRYOLU</w:t>
            </w:r>
          </w:p>
        </w:tc>
        <w:tc>
          <w:tcPr>
            <w:tcW w:w="2228" w:type="dxa"/>
            <w:tcBorders>
              <w:top w:val="nil"/>
              <w:left w:val="nil"/>
              <w:bottom w:val="single" w:sz="4" w:space="0" w:color="333399"/>
              <w:right w:val="single" w:sz="4" w:space="0" w:color="333399"/>
            </w:tcBorders>
            <w:shd w:val="clear" w:color="auto" w:fill="auto"/>
            <w:noWrap/>
            <w:vAlign w:val="center"/>
            <w:hideMark/>
          </w:tcPr>
          <w:p w14:paraId="70B3D3B3"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37.405.982.148</w:t>
            </w:r>
          </w:p>
        </w:tc>
        <w:tc>
          <w:tcPr>
            <w:tcW w:w="1132" w:type="dxa"/>
            <w:tcBorders>
              <w:top w:val="nil"/>
              <w:left w:val="nil"/>
              <w:bottom w:val="single" w:sz="4" w:space="0" w:color="333399"/>
              <w:right w:val="single" w:sz="4" w:space="0" w:color="333399"/>
            </w:tcBorders>
            <w:shd w:val="clear" w:color="auto" w:fill="auto"/>
            <w:noWrap/>
            <w:vAlign w:val="center"/>
            <w:hideMark/>
          </w:tcPr>
          <w:p w14:paraId="3DCD7F8D"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6,9%</w:t>
            </w:r>
          </w:p>
        </w:tc>
      </w:tr>
      <w:tr w:rsidR="00DA121A" w:rsidRPr="00DA121A" w14:paraId="4EAF22AD" w14:textId="77777777" w:rsidTr="00DA121A">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7DF9322C"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5</w:t>
            </w:r>
          </w:p>
        </w:tc>
        <w:tc>
          <w:tcPr>
            <w:tcW w:w="4126" w:type="dxa"/>
            <w:tcBorders>
              <w:top w:val="nil"/>
              <w:left w:val="nil"/>
              <w:bottom w:val="single" w:sz="4" w:space="0" w:color="333399"/>
              <w:right w:val="single" w:sz="4" w:space="0" w:color="333399"/>
            </w:tcBorders>
            <w:shd w:val="clear" w:color="auto" w:fill="auto"/>
            <w:noWrap/>
            <w:vAlign w:val="center"/>
            <w:hideMark/>
          </w:tcPr>
          <w:p w14:paraId="5C06C8EE"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TİCARET MERKEZİ</w:t>
            </w:r>
          </w:p>
        </w:tc>
        <w:tc>
          <w:tcPr>
            <w:tcW w:w="2228" w:type="dxa"/>
            <w:tcBorders>
              <w:top w:val="nil"/>
              <w:left w:val="nil"/>
              <w:bottom w:val="single" w:sz="4" w:space="0" w:color="333399"/>
              <w:right w:val="single" w:sz="4" w:space="0" w:color="333399"/>
            </w:tcBorders>
            <w:shd w:val="clear" w:color="auto" w:fill="auto"/>
            <w:noWrap/>
            <w:vAlign w:val="center"/>
            <w:hideMark/>
          </w:tcPr>
          <w:p w14:paraId="0B57318C"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37.037.292.941</w:t>
            </w:r>
          </w:p>
        </w:tc>
        <w:tc>
          <w:tcPr>
            <w:tcW w:w="1132" w:type="dxa"/>
            <w:tcBorders>
              <w:top w:val="nil"/>
              <w:left w:val="nil"/>
              <w:bottom w:val="single" w:sz="4" w:space="0" w:color="333399"/>
              <w:right w:val="single" w:sz="4" w:space="0" w:color="333399"/>
            </w:tcBorders>
            <w:shd w:val="clear" w:color="auto" w:fill="auto"/>
            <w:noWrap/>
            <w:vAlign w:val="center"/>
            <w:hideMark/>
          </w:tcPr>
          <w:p w14:paraId="2B148E98"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6,9%</w:t>
            </w:r>
          </w:p>
        </w:tc>
      </w:tr>
      <w:tr w:rsidR="00DA121A" w:rsidRPr="00DA121A" w14:paraId="308BDB57" w14:textId="77777777" w:rsidTr="00DA121A">
        <w:trPr>
          <w:trHeight w:val="310"/>
        </w:trPr>
        <w:tc>
          <w:tcPr>
            <w:tcW w:w="1563" w:type="dxa"/>
            <w:tcBorders>
              <w:top w:val="nil"/>
              <w:left w:val="single" w:sz="4" w:space="0" w:color="333399"/>
              <w:bottom w:val="single" w:sz="4" w:space="0" w:color="333399"/>
              <w:right w:val="single" w:sz="4" w:space="0" w:color="333399"/>
            </w:tcBorders>
            <w:shd w:val="clear" w:color="auto" w:fill="auto"/>
            <w:noWrap/>
            <w:vAlign w:val="center"/>
            <w:hideMark/>
          </w:tcPr>
          <w:p w14:paraId="2FD22F4D"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6</w:t>
            </w:r>
          </w:p>
        </w:tc>
        <w:tc>
          <w:tcPr>
            <w:tcW w:w="4126" w:type="dxa"/>
            <w:tcBorders>
              <w:top w:val="nil"/>
              <w:left w:val="nil"/>
              <w:bottom w:val="single" w:sz="4" w:space="0" w:color="333399"/>
              <w:right w:val="single" w:sz="4" w:space="0" w:color="333399"/>
            </w:tcBorders>
            <w:shd w:val="clear" w:color="auto" w:fill="auto"/>
            <w:noWrap/>
            <w:vAlign w:val="center"/>
            <w:hideMark/>
          </w:tcPr>
          <w:p w14:paraId="2D6D5864"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HAVALİMANI</w:t>
            </w:r>
          </w:p>
        </w:tc>
        <w:tc>
          <w:tcPr>
            <w:tcW w:w="2228" w:type="dxa"/>
            <w:tcBorders>
              <w:top w:val="nil"/>
              <w:left w:val="nil"/>
              <w:bottom w:val="single" w:sz="4" w:space="0" w:color="333399"/>
              <w:right w:val="single" w:sz="4" w:space="0" w:color="333399"/>
            </w:tcBorders>
            <w:shd w:val="clear" w:color="auto" w:fill="auto"/>
            <w:noWrap/>
            <w:vAlign w:val="center"/>
            <w:hideMark/>
          </w:tcPr>
          <w:p w14:paraId="56E4CFBD"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35.020.186.432</w:t>
            </w:r>
          </w:p>
        </w:tc>
        <w:tc>
          <w:tcPr>
            <w:tcW w:w="1132" w:type="dxa"/>
            <w:tcBorders>
              <w:top w:val="nil"/>
              <w:left w:val="nil"/>
              <w:bottom w:val="single" w:sz="4" w:space="0" w:color="333399"/>
              <w:right w:val="single" w:sz="4" w:space="0" w:color="333399"/>
            </w:tcBorders>
            <w:shd w:val="clear" w:color="auto" w:fill="auto"/>
            <w:noWrap/>
            <w:vAlign w:val="center"/>
            <w:hideMark/>
          </w:tcPr>
          <w:p w14:paraId="23027694"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6,5%</w:t>
            </w:r>
          </w:p>
        </w:tc>
      </w:tr>
      <w:tr w:rsidR="00DA121A" w:rsidRPr="00DA121A" w14:paraId="38D6C76E" w14:textId="77777777" w:rsidTr="00DA121A">
        <w:trPr>
          <w:trHeight w:val="296"/>
        </w:trPr>
        <w:tc>
          <w:tcPr>
            <w:tcW w:w="1563" w:type="dxa"/>
            <w:tcBorders>
              <w:top w:val="nil"/>
              <w:left w:val="single" w:sz="4" w:space="0" w:color="333399"/>
              <w:bottom w:val="nil"/>
              <w:right w:val="single" w:sz="4" w:space="0" w:color="333399"/>
            </w:tcBorders>
            <w:shd w:val="clear" w:color="auto" w:fill="auto"/>
            <w:noWrap/>
            <w:vAlign w:val="center"/>
            <w:hideMark/>
          </w:tcPr>
          <w:p w14:paraId="006A6EB4"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7</w:t>
            </w:r>
          </w:p>
        </w:tc>
        <w:tc>
          <w:tcPr>
            <w:tcW w:w="4126" w:type="dxa"/>
            <w:tcBorders>
              <w:top w:val="nil"/>
              <w:left w:val="nil"/>
              <w:bottom w:val="single" w:sz="4" w:space="0" w:color="333399"/>
              <w:right w:val="single" w:sz="4" w:space="0" w:color="333399"/>
            </w:tcBorders>
            <w:shd w:val="clear" w:color="auto" w:fill="auto"/>
            <w:noWrap/>
            <w:vAlign w:val="center"/>
            <w:hideMark/>
          </w:tcPr>
          <w:p w14:paraId="0E25978E"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FABRİKA</w:t>
            </w:r>
          </w:p>
        </w:tc>
        <w:tc>
          <w:tcPr>
            <w:tcW w:w="2228" w:type="dxa"/>
            <w:tcBorders>
              <w:top w:val="nil"/>
              <w:left w:val="nil"/>
              <w:bottom w:val="single" w:sz="4" w:space="0" w:color="333399"/>
              <w:right w:val="single" w:sz="4" w:space="0" w:color="333399"/>
            </w:tcBorders>
            <w:shd w:val="clear" w:color="auto" w:fill="auto"/>
            <w:noWrap/>
            <w:vAlign w:val="center"/>
            <w:hideMark/>
          </w:tcPr>
          <w:p w14:paraId="5333E3D9"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26.683.253.464</w:t>
            </w:r>
          </w:p>
        </w:tc>
        <w:tc>
          <w:tcPr>
            <w:tcW w:w="1132" w:type="dxa"/>
            <w:tcBorders>
              <w:top w:val="nil"/>
              <w:left w:val="nil"/>
              <w:bottom w:val="single" w:sz="4" w:space="0" w:color="333399"/>
              <w:right w:val="single" w:sz="4" w:space="0" w:color="333399"/>
            </w:tcBorders>
            <w:shd w:val="clear" w:color="auto" w:fill="auto"/>
            <w:noWrap/>
            <w:vAlign w:val="center"/>
            <w:hideMark/>
          </w:tcPr>
          <w:p w14:paraId="08B8E932"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4,9%</w:t>
            </w:r>
          </w:p>
        </w:tc>
      </w:tr>
      <w:tr w:rsidR="00DA121A" w:rsidRPr="00DA121A" w14:paraId="6044ECB2" w14:textId="77777777" w:rsidTr="00DA121A">
        <w:trPr>
          <w:trHeight w:val="310"/>
        </w:trPr>
        <w:tc>
          <w:tcPr>
            <w:tcW w:w="1563" w:type="dxa"/>
            <w:tcBorders>
              <w:top w:val="single" w:sz="4" w:space="0" w:color="auto"/>
              <w:left w:val="single" w:sz="4" w:space="0" w:color="auto"/>
              <w:bottom w:val="nil"/>
              <w:right w:val="single" w:sz="4" w:space="0" w:color="auto"/>
            </w:tcBorders>
            <w:shd w:val="clear" w:color="auto" w:fill="auto"/>
            <w:noWrap/>
            <w:vAlign w:val="center"/>
            <w:hideMark/>
          </w:tcPr>
          <w:p w14:paraId="22AD9D81"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8</w:t>
            </w:r>
          </w:p>
        </w:tc>
        <w:tc>
          <w:tcPr>
            <w:tcW w:w="4126" w:type="dxa"/>
            <w:tcBorders>
              <w:top w:val="nil"/>
              <w:left w:val="single" w:sz="4" w:space="0" w:color="333399"/>
              <w:bottom w:val="single" w:sz="4" w:space="0" w:color="333399"/>
              <w:right w:val="single" w:sz="4" w:space="0" w:color="333399"/>
            </w:tcBorders>
            <w:shd w:val="clear" w:color="auto" w:fill="auto"/>
            <w:noWrap/>
            <w:vAlign w:val="center"/>
            <w:hideMark/>
          </w:tcPr>
          <w:p w14:paraId="79802FD5"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PETROKİMYA TESİSİ</w:t>
            </w:r>
          </w:p>
        </w:tc>
        <w:tc>
          <w:tcPr>
            <w:tcW w:w="2228" w:type="dxa"/>
            <w:tcBorders>
              <w:top w:val="nil"/>
              <w:left w:val="nil"/>
              <w:bottom w:val="single" w:sz="4" w:space="0" w:color="333399"/>
              <w:right w:val="single" w:sz="4" w:space="0" w:color="333399"/>
            </w:tcBorders>
            <w:shd w:val="clear" w:color="auto" w:fill="auto"/>
            <w:noWrap/>
            <w:vAlign w:val="center"/>
            <w:hideMark/>
          </w:tcPr>
          <w:p w14:paraId="45B7F3A4"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22.053.270.962</w:t>
            </w:r>
          </w:p>
        </w:tc>
        <w:tc>
          <w:tcPr>
            <w:tcW w:w="1132" w:type="dxa"/>
            <w:tcBorders>
              <w:top w:val="nil"/>
              <w:left w:val="nil"/>
              <w:bottom w:val="single" w:sz="4" w:space="0" w:color="333399"/>
              <w:right w:val="single" w:sz="4" w:space="0" w:color="333399"/>
            </w:tcBorders>
            <w:shd w:val="clear" w:color="auto" w:fill="auto"/>
            <w:noWrap/>
            <w:vAlign w:val="center"/>
            <w:hideMark/>
          </w:tcPr>
          <w:p w14:paraId="3D0ABEC2"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4,1%</w:t>
            </w:r>
          </w:p>
        </w:tc>
      </w:tr>
      <w:tr w:rsidR="00DA121A" w:rsidRPr="00DA121A" w14:paraId="2D3C2C03" w14:textId="77777777" w:rsidTr="00DA121A">
        <w:trPr>
          <w:trHeight w:val="296"/>
        </w:trPr>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48CC"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9</w:t>
            </w:r>
          </w:p>
        </w:tc>
        <w:tc>
          <w:tcPr>
            <w:tcW w:w="4126" w:type="dxa"/>
            <w:tcBorders>
              <w:top w:val="nil"/>
              <w:left w:val="single" w:sz="4" w:space="0" w:color="333399"/>
              <w:bottom w:val="single" w:sz="4" w:space="0" w:color="333399"/>
              <w:right w:val="single" w:sz="4" w:space="0" w:color="333399"/>
            </w:tcBorders>
            <w:shd w:val="clear" w:color="auto" w:fill="auto"/>
            <w:noWrap/>
            <w:vAlign w:val="center"/>
            <w:hideMark/>
          </w:tcPr>
          <w:p w14:paraId="63AA95AB"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TURİSTİK TESİS</w:t>
            </w:r>
          </w:p>
        </w:tc>
        <w:tc>
          <w:tcPr>
            <w:tcW w:w="2228" w:type="dxa"/>
            <w:tcBorders>
              <w:top w:val="nil"/>
              <w:left w:val="nil"/>
              <w:bottom w:val="single" w:sz="4" w:space="0" w:color="333399"/>
              <w:right w:val="single" w:sz="4" w:space="0" w:color="333399"/>
            </w:tcBorders>
            <w:shd w:val="clear" w:color="auto" w:fill="auto"/>
            <w:noWrap/>
            <w:vAlign w:val="center"/>
            <w:hideMark/>
          </w:tcPr>
          <w:p w14:paraId="223CBFFA"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19.894.916.760</w:t>
            </w:r>
          </w:p>
        </w:tc>
        <w:tc>
          <w:tcPr>
            <w:tcW w:w="1132" w:type="dxa"/>
            <w:tcBorders>
              <w:top w:val="nil"/>
              <w:left w:val="nil"/>
              <w:bottom w:val="single" w:sz="4" w:space="0" w:color="333399"/>
              <w:right w:val="single" w:sz="4" w:space="0" w:color="333399"/>
            </w:tcBorders>
            <w:shd w:val="clear" w:color="auto" w:fill="auto"/>
            <w:noWrap/>
            <w:vAlign w:val="center"/>
            <w:hideMark/>
          </w:tcPr>
          <w:p w14:paraId="0F9DA128"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3,7%</w:t>
            </w:r>
          </w:p>
        </w:tc>
      </w:tr>
      <w:tr w:rsidR="00DA121A" w:rsidRPr="00DA121A" w14:paraId="0440E77E" w14:textId="77777777" w:rsidTr="00DA121A">
        <w:trPr>
          <w:trHeight w:val="310"/>
        </w:trPr>
        <w:tc>
          <w:tcPr>
            <w:tcW w:w="1563" w:type="dxa"/>
            <w:tcBorders>
              <w:top w:val="nil"/>
              <w:left w:val="single" w:sz="4" w:space="0" w:color="auto"/>
              <w:bottom w:val="single" w:sz="4" w:space="0" w:color="auto"/>
              <w:right w:val="single" w:sz="4" w:space="0" w:color="auto"/>
            </w:tcBorders>
            <w:shd w:val="clear" w:color="auto" w:fill="auto"/>
            <w:noWrap/>
            <w:vAlign w:val="center"/>
            <w:hideMark/>
          </w:tcPr>
          <w:p w14:paraId="78713691"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10</w:t>
            </w:r>
          </w:p>
        </w:tc>
        <w:tc>
          <w:tcPr>
            <w:tcW w:w="4126" w:type="dxa"/>
            <w:tcBorders>
              <w:top w:val="nil"/>
              <w:left w:val="single" w:sz="4" w:space="0" w:color="333399"/>
              <w:bottom w:val="single" w:sz="4" w:space="0" w:color="333399"/>
              <w:right w:val="single" w:sz="4" w:space="0" w:color="333399"/>
            </w:tcBorders>
            <w:shd w:val="clear" w:color="auto" w:fill="auto"/>
            <w:noWrap/>
            <w:vAlign w:val="center"/>
            <w:hideMark/>
          </w:tcPr>
          <w:p w14:paraId="2A4763D2"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İDARİ BİNA</w:t>
            </w:r>
          </w:p>
        </w:tc>
        <w:tc>
          <w:tcPr>
            <w:tcW w:w="2228" w:type="dxa"/>
            <w:tcBorders>
              <w:top w:val="nil"/>
              <w:left w:val="nil"/>
              <w:bottom w:val="single" w:sz="4" w:space="0" w:color="333399"/>
              <w:right w:val="single" w:sz="4" w:space="0" w:color="333399"/>
            </w:tcBorders>
            <w:shd w:val="clear" w:color="auto" w:fill="auto"/>
            <w:noWrap/>
            <w:vAlign w:val="center"/>
            <w:hideMark/>
          </w:tcPr>
          <w:p w14:paraId="0FCD2E9B"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17.422.002.055</w:t>
            </w:r>
          </w:p>
        </w:tc>
        <w:tc>
          <w:tcPr>
            <w:tcW w:w="1132" w:type="dxa"/>
            <w:tcBorders>
              <w:top w:val="nil"/>
              <w:left w:val="nil"/>
              <w:bottom w:val="single" w:sz="4" w:space="0" w:color="333399"/>
              <w:right w:val="single" w:sz="4" w:space="0" w:color="333399"/>
            </w:tcBorders>
            <w:shd w:val="clear" w:color="auto" w:fill="auto"/>
            <w:noWrap/>
            <w:vAlign w:val="center"/>
            <w:hideMark/>
          </w:tcPr>
          <w:p w14:paraId="4D81B671"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3,2%</w:t>
            </w:r>
          </w:p>
        </w:tc>
      </w:tr>
      <w:tr w:rsidR="00DA121A" w:rsidRPr="00DA121A" w14:paraId="4490D5CF" w14:textId="77777777" w:rsidTr="00DA121A">
        <w:trPr>
          <w:trHeight w:val="310"/>
        </w:trPr>
        <w:tc>
          <w:tcPr>
            <w:tcW w:w="56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CD5BF" w14:textId="77777777" w:rsidR="00DA121A" w:rsidRPr="00DA121A" w:rsidRDefault="00DA121A" w:rsidP="00DA121A">
            <w:pPr>
              <w:spacing w:after="0" w:line="240" w:lineRule="auto"/>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 xml:space="preserve">               TOPLAM</w:t>
            </w:r>
          </w:p>
        </w:tc>
        <w:tc>
          <w:tcPr>
            <w:tcW w:w="2228" w:type="dxa"/>
            <w:tcBorders>
              <w:top w:val="nil"/>
              <w:left w:val="nil"/>
              <w:bottom w:val="single" w:sz="4" w:space="0" w:color="333399"/>
              <w:right w:val="single" w:sz="4" w:space="0" w:color="333399"/>
            </w:tcBorders>
            <w:shd w:val="clear" w:color="auto" w:fill="auto"/>
            <w:noWrap/>
            <w:vAlign w:val="center"/>
            <w:hideMark/>
          </w:tcPr>
          <w:p w14:paraId="0900E17F"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539.771.626.020</w:t>
            </w:r>
          </w:p>
        </w:tc>
        <w:tc>
          <w:tcPr>
            <w:tcW w:w="1132" w:type="dxa"/>
            <w:tcBorders>
              <w:top w:val="nil"/>
              <w:left w:val="nil"/>
              <w:bottom w:val="single" w:sz="4" w:space="0" w:color="333399"/>
              <w:right w:val="single" w:sz="4" w:space="0" w:color="333399"/>
            </w:tcBorders>
            <w:shd w:val="clear" w:color="auto" w:fill="auto"/>
            <w:noWrap/>
            <w:vAlign w:val="center"/>
            <w:hideMark/>
          </w:tcPr>
          <w:p w14:paraId="01D78834" w14:textId="77777777" w:rsidR="00DA121A" w:rsidRPr="00DA121A" w:rsidRDefault="00DA121A" w:rsidP="00DA121A">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100,0%</w:t>
            </w:r>
          </w:p>
        </w:tc>
      </w:tr>
    </w:tbl>
    <w:p w14:paraId="715880AE" w14:textId="77777777" w:rsidR="00DA121A" w:rsidRDefault="00DA121A" w:rsidP="00BB5CFD">
      <w:pPr>
        <w:spacing w:after="0" w:line="240" w:lineRule="auto"/>
        <w:jc w:val="both"/>
        <w:rPr>
          <w:rFonts w:ascii="Times New Roman" w:hAnsi="Times New Roman" w:cs="Times New Roman"/>
          <w:sz w:val="24"/>
          <w:szCs w:val="24"/>
        </w:rPr>
      </w:pPr>
    </w:p>
    <w:p w14:paraId="45B59262" w14:textId="77777777" w:rsidR="00BE787A" w:rsidRDefault="00BE787A" w:rsidP="00BB5CFD">
      <w:pPr>
        <w:spacing w:after="0" w:line="240" w:lineRule="auto"/>
        <w:jc w:val="both"/>
        <w:rPr>
          <w:rFonts w:ascii="Times New Roman" w:hAnsi="Times New Roman" w:cs="Times New Roman"/>
          <w:sz w:val="24"/>
          <w:szCs w:val="24"/>
        </w:rPr>
      </w:pPr>
    </w:p>
    <w:p w14:paraId="297DB417" w14:textId="6D45EB50" w:rsidR="00365661" w:rsidRDefault="005F4FC2" w:rsidP="00BB5CFD">
      <w:pPr>
        <w:spacing w:after="0" w:line="240" w:lineRule="auto"/>
        <w:jc w:val="both"/>
        <w:rPr>
          <w:rFonts w:ascii="Times New Roman" w:hAnsi="Times New Roman" w:cs="Times New Roman"/>
          <w:sz w:val="24"/>
          <w:szCs w:val="24"/>
        </w:rPr>
      </w:pPr>
      <w:r w:rsidRPr="005F4FC2">
        <w:rPr>
          <w:rFonts w:ascii="Times New Roman" w:hAnsi="Times New Roman" w:cs="Times New Roman"/>
          <w:sz w:val="24"/>
          <w:szCs w:val="24"/>
        </w:rPr>
        <w:lastRenderedPageBreak/>
        <w:t>Türk müteahhitlik şirketleri inşaatın her alanında çok çeşitli nitelikte projeleri üstlenmeye devam etmektedir.</w:t>
      </w:r>
      <w:r>
        <w:rPr>
          <w:rFonts w:ascii="Times New Roman" w:hAnsi="Times New Roman" w:cs="Times New Roman"/>
          <w:sz w:val="24"/>
          <w:szCs w:val="24"/>
        </w:rPr>
        <w:t xml:space="preserve"> </w:t>
      </w:r>
      <w:r w:rsidR="00F31717" w:rsidRPr="00F31717">
        <w:rPr>
          <w:rFonts w:ascii="Times New Roman" w:hAnsi="Times New Roman" w:cs="Times New Roman"/>
          <w:sz w:val="24"/>
          <w:szCs w:val="24"/>
        </w:rPr>
        <w:t>202</w:t>
      </w:r>
      <w:r w:rsidR="00C8138D">
        <w:rPr>
          <w:rFonts w:ascii="Times New Roman" w:hAnsi="Times New Roman" w:cs="Times New Roman"/>
          <w:sz w:val="24"/>
          <w:szCs w:val="24"/>
        </w:rPr>
        <w:t>4</w:t>
      </w:r>
      <w:r w:rsidR="00F31717" w:rsidRPr="00F31717">
        <w:rPr>
          <w:rFonts w:ascii="Times New Roman" w:hAnsi="Times New Roman" w:cs="Times New Roman"/>
          <w:sz w:val="24"/>
          <w:szCs w:val="24"/>
        </w:rPr>
        <w:t xml:space="preserve"> yılında en çok proje üstlenilen sektörlerin dağılımına bakıldığında ise %</w:t>
      </w:r>
      <w:r>
        <w:rPr>
          <w:rFonts w:ascii="Times New Roman" w:hAnsi="Times New Roman" w:cs="Times New Roman"/>
          <w:sz w:val="24"/>
          <w:szCs w:val="24"/>
        </w:rPr>
        <w:t>2</w:t>
      </w:r>
      <w:r w:rsidR="003324F7">
        <w:rPr>
          <w:rFonts w:ascii="Times New Roman" w:hAnsi="Times New Roman" w:cs="Times New Roman"/>
          <w:sz w:val="24"/>
          <w:szCs w:val="24"/>
        </w:rPr>
        <w:t>4,1</w:t>
      </w:r>
      <w:r w:rsidR="00F31717" w:rsidRPr="00F31717">
        <w:rPr>
          <w:rFonts w:ascii="Times New Roman" w:hAnsi="Times New Roman" w:cs="Times New Roman"/>
          <w:sz w:val="24"/>
          <w:szCs w:val="24"/>
        </w:rPr>
        <w:t xml:space="preserve">’lik pay ile </w:t>
      </w:r>
      <w:r>
        <w:rPr>
          <w:rFonts w:ascii="Times New Roman" w:hAnsi="Times New Roman" w:cs="Times New Roman"/>
          <w:sz w:val="24"/>
          <w:szCs w:val="24"/>
        </w:rPr>
        <w:t xml:space="preserve">demiryolu </w:t>
      </w:r>
      <w:r w:rsidR="00F31717" w:rsidRPr="00F31717">
        <w:rPr>
          <w:rFonts w:ascii="Times New Roman" w:hAnsi="Times New Roman" w:cs="Times New Roman"/>
          <w:sz w:val="24"/>
          <w:szCs w:val="24"/>
        </w:rPr>
        <w:t>ilk sırada yer almaktadır. Ardından sırasıyla;</w:t>
      </w:r>
      <w:r w:rsidRPr="005F4FC2">
        <w:rPr>
          <w:rFonts w:ascii="Times New Roman" w:hAnsi="Times New Roman" w:cs="Times New Roman"/>
          <w:sz w:val="24"/>
          <w:szCs w:val="24"/>
        </w:rPr>
        <w:t xml:space="preserve"> </w:t>
      </w:r>
      <w:r w:rsidR="0046064F">
        <w:rPr>
          <w:rFonts w:ascii="Times New Roman" w:hAnsi="Times New Roman" w:cs="Times New Roman"/>
          <w:sz w:val="24"/>
          <w:szCs w:val="24"/>
        </w:rPr>
        <w:t>k</w:t>
      </w:r>
      <w:r w:rsidRPr="005F4FC2">
        <w:rPr>
          <w:rFonts w:ascii="Times New Roman" w:hAnsi="Times New Roman" w:cs="Times New Roman"/>
          <w:sz w:val="24"/>
          <w:szCs w:val="24"/>
        </w:rPr>
        <w:t xml:space="preserve">arayolu / </w:t>
      </w:r>
      <w:r w:rsidR="0046064F">
        <w:rPr>
          <w:rFonts w:ascii="Times New Roman" w:hAnsi="Times New Roman" w:cs="Times New Roman"/>
          <w:sz w:val="24"/>
          <w:szCs w:val="24"/>
        </w:rPr>
        <w:t>t</w:t>
      </w:r>
      <w:r w:rsidRPr="005F4FC2">
        <w:rPr>
          <w:rFonts w:ascii="Times New Roman" w:hAnsi="Times New Roman" w:cs="Times New Roman"/>
          <w:sz w:val="24"/>
          <w:szCs w:val="24"/>
        </w:rPr>
        <w:t xml:space="preserve">ünel / </w:t>
      </w:r>
      <w:r w:rsidR="0046064F">
        <w:rPr>
          <w:rFonts w:ascii="Times New Roman" w:hAnsi="Times New Roman" w:cs="Times New Roman"/>
          <w:sz w:val="24"/>
          <w:szCs w:val="24"/>
        </w:rPr>
        <w:t>k</w:t>
      </w:r>
      <w:r w:rsidRPr="005F4FC2">
        <w:rPr>
          <w:rFonts w:ascii="Times New Roman" w:hAnsi="Times New Roman" w:cs="Times New Roman"/>
          <w:sz w:val="24"/>
          <w:szCs w:val="24"/>
        </w:rPr>
        <w:t xml:space="preserve">öprü projeleri </w:t>
      </w:r>
      <w:r>
        <w:rPr>
          <w:rFonts w:ascii="Times New Roman" w:hAnsi="Times New Roman" w:cs="Times New Roman"/>
          <w:sz w:val="24"/>
          <w:szCs w:val="24"/>
        </w:rPr>
        <w:t>ko</w:t>
      </w:r>
      <w:r w:rsidR="00F31717" w:rsidRPr="00F31717">
        <w:rPr>
          <w:rFonts w:ascii="Times New Roman" w:hAnsi="Times New Roman" w:cs="Times New Roman"/>
          <w:sz w:val="24"/>
          <w:szCs w:val="24"/>
        </w:rPr>
        <w:t>nut</w:t>
      </w:r>
      <w:r w:rsidR="003324F7">
        <w:rPr>
          <w:rFonts w:ascii="Times New Roman" w:hAnsi="Times New Roman" w:cs="Times New Roman"/>
          <w:sz w:val="24"/>
          <w:szCs w:val="24"/>
        </w:rPr>
        <w:t>,</w:t>
      </w:r>
      <w:r>
        <w:rPr>
          <w:rFonts w:ascii="Times New Roman" w:hAnsi="Times New Roman" w:cs="Times New Roman"/>
          <w:sz w:val="24"/>
          <w:szCs w:val="24"/>
        </w:rPr>
        <w:t xml:space="preserve"> sağlık tesisi</w:t>
      </w:r>
      <w:r w:rsidR="003324F7">
        <w:rPr>
          <w:rFonts w:ascii="Times New Roman" w:hAnsi="Times New Roman" w:cs="Times New Roman"/>
          <w:sz w:val="24"/>
          <w:szCs w:val="24"/>
        </w:rPr>
        <w:t xml:space="preserve"> ve turistik tesis</w:t>
      </w:r>
      <w:r>
        <w:rPr>
          <w:rFonts w:ascii="Times New Roman" w:hAnsi="Times New Roman" w:cs="Times New Roman"/>
          <w:sz w:val="24"/>
          <w:szCs w:val="24"/>
        </w:rPr>
        <w:t xml:space="preserve"> </w:t>
      </w:r>
      <w:r w:rsidR="00F31717" w:rsidRPr="00F31717">
        <w:rPr>
          <w:rFonts w:ascii="Times New Roman" w:hAnsi="Times New Roman" w:cs="Times New Roman"/>
          <w:sz w:val="24"/>
          <w:szCs w:val="24"/>
        </w:rPr>
        <w:t>projeleri gelmektedir.</w:t>
      </w:r>
      <w:r w:rsidR="00F31717" w:rsidRPr="00F31717">
        <w:rPr>
          <w:rFonts w:ascii="Times New Roman" w:hAnsi="Times New Roman" w:cs="Times New Roman"/>
          <w:sz w:val="24"/>
          <w:szCs w:val="24"/>
        </w:rPr>
        <w:tab/>
      </w:r>
    </w:p>
    <w:p w14:paraId="415CB771" w14:textId="393B6AA5" w:rsidR="00E451A3" w:rsidRDefault="00E451A3" w:rsidP="00BB5CFD">
      <w:pPr>
        <w:spacing w:after="0" w:line="240" w:lineRule="auto"/>
        <w:jc w:val="both"/>
        <w:rPr>
          <w:rFonts w:ascii="Times New Roman" w:hAnsi="Times New Roman" w:cs="Times New Roman"/>
          <w:sz w:val="24"/>
          <w:szCs w:val="24"/>
        </w:rPr>
      </w:pPr>
    </w:p>
    <w:tbl>
      <w:tblPr>
        <w:tblW w:w="9007" w:type="dxa"/>
        <w:tblCellMar>
          <w:left w:w="70" w:type="dxa"/>
          <w:right w:w="70" w:type="dxa"/>
        </w:tblCellMar>
        <w:tblLook w:val="04A0" w:firstRow="1" w:lastRow="0" w:firstColumn="1" w:lastColumn="0" w:noHBand="0" w:noVBand="1"/>
      </w:tblPr>
      <w:tblGrid>
        <w:gridCol w:w="1637"/>
        <w:gridCol w:w="3869"/>
        <w:gridCol w:w="2315"/>
        <w:gridCol w:w="1186"/>
      </w:tblGrid>
      <w:tr w:rsidR="002F391E" w:rsidRPr="002F391E" w14:paraId="3C185164" w14:textId="77777777" w:rsidTr="002F391E">
        <w:trPr>
          <w:trHeight w:val="550"/>
        </w:trPr>
        <w:tc>
          <w:tcPr>
            <w:tcW w:w="9007" w:type="dxa"/>
            <w:gridSpan w:val="4"/>
            <w:tcBorders>
              <w:top w:val="single" w:sz="4" w:space="0" w:color="333399"/>
              <w:left w:val="single" w:sz="4" w:space="0" w:color="333399"/>
              <w:bottom w:val="single" w:sz="4" w:space="0" w:color="333399"/>
              <w:right w:val="single" w:sz="4" w:space="0" w:color="333399"/>
            </w:tcBorders>
            <w:shd w:val="clear" w:color="000000" w:fill="99CCFF"/>
            <w:vAlign w:val="center"/>
            <w:hideMark/>
          </w:tcPr>
          <w:p w14:paraId="1C211466" w14:textId="461131BE" w:rsidR="002F391E" w:rsidRPr="002F391E" w:rsidRDefault="003324F7" w:rsidP="002F391E">
            <w:pPr>
              <w:spacing w:after="0" w:line="240" w:lineRule="auto"/>
              <w:jc w:val="center"/>
              <w:rPr>
                <w:rFonts w:ascii="Century Gothic" w:eastAsia="Times New Roman" w:hAnsi="Century Gothic" w:cs="Arial TUR"/>
                <w:b/>
                <w:bCs/>
                <w:color w:val="000080"/>
                <w:sz w:val="20"/>
                <w:szCs w:val="20"/>
                <w:lang w:eastAsia="tr-TR"/>
              </w:rPr>
            </w:pPr>
            <w:r w:rsidRPr="00DA121A">
              <w:rPr>
                <w:rFonts w:ascii="Century Gothic" w:eastAsia="Times New Roman" w:hAnsi="Century Gothic" w:cs="Arial TUR"/>
                <w:b/>
                <w:bCs/>
                <w:color w:val="000080"/>
                <w:sz w:val="20"/>
                <w:szCs w:val="20"/>
                <w:lang w:eastAsia="tr-TR"/>
              </w:rPr>
              <w:t>SEKTÖREL DAĞILIM (202</w:t>
            </w:r>
            <w:r>
              <w:rPr>
                <w:rFonts w:ascii="Century Gothic" w:eastAsia="Times New Roman" w:hAnsi="Century Gothic" w:cs="Arial TUR"/>
                <w:b/>
                <w:bCs/>
                <w:color w:val="000080"/>
                <w:sz w:val="20"/>
                <w:szCs w:val="20"/>
                <w:lang w:eastAsia="tr-TR"/>
              </w:rPr>
              <w:t>4</w:t>
            </w:r>
            <w:r w:rsidRPr="00DA121A">
              <w:rPr>
                <w:rFonts w:ascii="Century Gothic" w:eastAsia="Times New Roman" w:hAnsi="Century Gothic" w:cs="Arial TUR"/>
                <w:b/>
                <w:bCs/>
                <w:color w:val="000080"/>
                <w:sz w:val="20"/>
                <w:szCs w:val="20"/>
                <w:lang w:eastAsia="tr-TR"/>
              </w:rPr>
              <w:t>)</w:t>
            </w:r>
          </w:p>
        </w:tc>
      </w:tr>
      <w:tr w:rsidR="002F391E" w:rsidRPr="002F391E" w14:paraId="558460DC" w14:textId="77777777" w:rsidTr="003324F7">
        <w:trPr>
          <w:trHeight w:val="490"/>
        </w:trPr>
        <w:tc>
          <w:tcPr>
            <w:tcW w:w="1637" w:type="dxa"/>
            <w:tcBorders>
              <w:top w:val="nil"/>
              <w:left w:val="single" w:sz="4" w:space="0" w:color="333399"/>
              <w:bottom w:val="single" w:sz="4" w:space="0" w:color="333399"/>
              <w:right w:val="single" w:sz="4" w:space="0" w:color="333399"/>
            </w:tcBorders>
            <w:shd w:val="clear" w:color="000000" w:fill="99CCFF"/>
            <w:vAlign w:val="center"/>
            <w:hideMark/>
          </w:tcPr>
          <w:p w14:paraId="0BF735FC"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SIRA</w:t>
            </w:r>
          </w:p>
        </w:tc>
        <w:tc>
          <w:tcPr>
            <w:tcW w:w="3869" w:type="dxa"/>
            <w:tcBorders>
              <w:top w:val="nil"/>
              <w:left w:val="nil"/>
              <w:bottom w:val="single" w:sz="4" w:space="0" w:color="333399"/>
              <w:right w:val="single" w:sz="4" w:space="0" w:color="333399"/>
            </w:tcBorders>
            <w:shd w:val="clear" w:color="000000" w:fill="99CCFF"/>
            <w:noWrap/>
            <w:vAlign w:val="center"/>
            <w:hideMark/>
          </w:tcPr>
          <w:p w14:paraId="25DEB10E"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FAALİYET ALANI</w:t>
            </w:r>
          </w:p>
        </w:tc>
        <w:tc>
          <w:tcPr>
            <w:tcW w:w="2315" w:type="dxa"/>
            <w:tcBorders>
              <w:top w:val="nil"/>
              <w:left w:val="nil"/>
              <w:bottom w:val="single" w:sz="4" w:space="0" w:color="333399"/>
              <w:right w:val="single" w:sz="4" w:space="0" w:color="333399"/>
            </w:tcBorders>
            <w:shd w:val="clear" w:color="000000" w:fill="99CCFF"/>
            <w:vAlign w:val="center"/>
            <w:hideMark/>
          </w:tcPr>
          <w:p w14:paraId="6B3B3BE0"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PROJE BEDELİ (USD)</w:t>
            </w:r>
          </w:p>
        </w:tc>
        <w:tc>
          <w:tcPr>
            <w:tcW w:w="1186" w:type="dxa"/>
            <w:tcBorders>
              <w:top w:val="nil"/>
              <w:left w:val="nil"/>
              <w:bottom w:val="single" w:sz="4" w:space="0" w:color="333399"/>
              <w:right w:val="single" w:sz="4" w:space="0" w:color="333399"/>
            </w:tcBorders>
            <w:shd w:val="clear" w:color="000000" w:fill="99CCFF"/>
            <w:vAlign w:val="center"/>
            <w:hideMark/>
          </w:tcPr>
          <w:p w14:paraId="5A74FFC0"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PAY</w:t>
            </w:r>
          </w:p>
        </w:tc>
      </w:tr>
      <w:tr w:rsidR="002F391E" w:rsidRPr="002F391E" w14:paraId="04B81501" w14:textId="77777777" w:rsidTr="003324F7">
        <w:trPr>
          <w:trHeight w:val="312"/>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5284B847"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w:t>
            </w:r>
          </w:p>
        </w:tc>
        <w:tc>
          <w:tcPr>
            <w:tcW w:w="3869" w:type="dxa"/>
            <w:tcBorders>
              <w:top w:val="nil"/>
              <w:left w:val="nil"/>
              <w:bottom w:val="single" w:sz="4" w:space="0" w:color="333399"/>
              <w:right w:val="single" w:sz="4" w:space="0" w:color="333399"/>
            </w:tcBorders>
            <w:shd w:val="clear" w:color="auto" w:fill="auto"/>
            <w:noWrap/>
            <w:vAlign w:val="center"/>
            <w:hideMark/>
          </w:tcPr>
          <w:p w14:paraId="489E6C43"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DEMİRYOLU</w:t>
            </w:r>
          </w:p>
        </w:tc>
        <w:tc>
          <w:tcPr>
            <w:tcW w:w="2315" w:type="dxa"/>
            <w:tcBorders>
              <w:top w:val="nil"/>
              <w:left w:val="nil"/>
              <w:bottom w:val="single" w:sz="4" w:space="0" w:color="333399"/>
              <w:right w:val="single" w:sz="4" w:space="0" w:color="333399"/>
            </w:tcBorders>
            <w:shd w:val="clear" w:color="auto" w:fill="auto"/>
            <w:noWrap/>
            <w:vAlign w:val="center"/>
            <w:hideMark/>
          </w:tcPr>
          <w:p w14:paraId="00AC1279"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7.279.940.947</w:t>
            </w:r>
          </w:p>
        </w:tc>
        <w:tc>
          <w:tcPr>
            <w:tcW w:w="1186" w:type="dxa"/>
            <w:tcBorders>
              <w:top w:val="nil"/>
              <w:left w:val="nil"/>
              <w:bottom w:val="single" w:sz="4" w:space="0" w:color="333399"/>
              <w:right w:val="single" w:sz="4" w:space="0" w:color="333399"/>
            </w:tcBorders>
            <w:shd w:val="clear" w:color="auto" w:fill="auto"/>
            <w:noWrap/>
            <w:vAlign w:val="center"/>
            <w:hideMark/>
          </w:tcPr>
          <w:p w14:paraId="644D4E0C"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24,1%</w:t>
            </w:r>
          </w:p>
        </w:tc>
      </w:tr>
      <w:tr w:rsidR="002F391E" w:rsidRPr="002F391E" w14:paraId="48E91DB5" w14:textId="77777777" w:rsidTr="003324F7">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250A82DC"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2</w:t>
            </w:r>
          </w:p>
        </w:tc>
        <w:tc>
          <w:tcPr>
            <w:tcW w:w="3869" w:type="dxa"/>
            <w:tcBorders>
              <w:top w:val="nil"/>
              <w:left w:val="nil"/>
              <w:bottom w:val="single" w:sz="4" w:space="0" w:color="333399"/>
              <w:right w:val="single" w:sz="4" w:space="0" w:color="333399"/>
            </w:tcBorders>
            <w:shd w:val="clear" w:color="auto" w:fill="auto"/>
            <w:noWrap/>
            <w:vAlign w:val="center"/>
            <w:hideMark/>
          </w:tcPr>
          <w:p w14:paraId="1F4AEDF1"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KARAYOLU/TÜNEL/KÖPRÜ</w:t>
            </w:r>
          </w:p>
        </w:tc>
        <w:tc>
          <w:tcPr>
            <w:tcW w:w="2315" w:type="dxa"/>
            <w:tcBorders>
              <w:top w:val="nil"/>
              <w:left w:val="nil"/>
              <w:bottom w:val="single" w:sz="4" w:space="0" w:color="333399"/>
              <w:right w:val="single" w:sz="4" w:space="0" w:color="333399"/>
            </w:tcBorders>
            <w:shd w:val="clear" w:color="auto" w:fill="auto"/>
            <w:noWrap/>
            <w:vAlign w:val="center"/>
            <w:hideMark/>
          </w:tcPr>
          <w:p w14:paraId="1896FCFC"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3.431.525.041</w:t>
            </w:r>
          </w:p>
        </w:tc>
        <w:tc>
          <w:tcPr>
            <w:tcW w:w="1186" w:type="dxa"/>
            <w:tcBorders>
              <w:top w:val="nil"/>
              <w:left w:val="nil"/>
              <w:bottom w:val="single" w:sz="4" w:space="0" w:color="333399"/>
              <w:right w:val="single" w:sz="4" w:space="0" w:color="333399"/>
            </w:tcBorders>
            <w:shd w:val="clear" w:color="auto" w:fill="auto"/>
            <w:noWrap/>
            <w:vAlign w:val="center"/>
            <w:hideMark/>
          </w:tcPr>
          <w:p w14:paraId="73741F7E"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11,4%</w:t>
            </w:r>
          </w:p>
        </w:tc>
      </w:tr>
      <w:tr w:rsidR="002F391E" w:rsidRPr="002F391E" w14:paraId="4EC91D43" w14:textId="77777777" w:rsidTr="003324F7">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2258930"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3</w:t>
            </w:r>
          </w:p>
        </w:tc>
        <w:tc>
          <w:tcPr>
            <w:tcW w:w="3869" w:type="dxa"/>
            <w:tcBorders>
              <w:top w:val="nil"/>
              <w:left w:val="nil"/>
              <w:bottom w:val="single" w:sz="4" w:space="0" w:color="333399"/>
              <w:right w:val="single" w:sz="4" w:space="0" w:color="333399"/>
            </w:tcBorders>
            <w:shd w:val="clear" w:color="auto" w:fill="auto"/>
            <w:noWrap/>
            <w:vAlign w:val="center"/>
            <w:hideMark/>
          </w:tcPr>
          <w:p w14:paraId="650CC782"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KONUT</w:t>
            </w:r>
          </w:p>
        </w:tc>
        <w:tc>
          <w:tcPr>
            <w:tcW w:w="2315" w:type="dxa"/>
            <w:tcBorders>
              <w:top w:val="nil"/>
              <w:left w:val="nil"/>
              <w:bottom w:val="single" w:sz="4" w:space="0" w:color="333399"/>
              <w:right w:val="single" w:sz="4" w:space="0" w:color="333399"/>
            </w:tcBorders>
            <w:shd w:val="clear" w:color="auto" w:fill="auto"/>
            <w:noWrap/>
            <w:vAlign w:val="center"/>
            <w:hideMark/>
          </w:tcPr>
          <w:p w14:paraId="364EB499"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2.026.363.975</w:t>
            </w:r>
          </w:p>
        </w:tc>
        <w:tc>
          <w:tcPr>
            <w:tcW w:w="1186" w:type="dxa"/>
            <w:tcBorders>
              <w:top w:val="nil"/>
              <w:left w:val="nil"/>
              <w:bottom w:val="single" w:sz="4" w:space="0" w:color="333399"/>
              <w:right w:val="single" w:sz="4" w:space="0" w:color="333399"/>
            </w:tcBorders>
            <w:shd w:val="clear" w:color="auto" w:fill="auto"/>
            <w:noWrap/>
            <w:vAlign w:val="center"/>
            <w:hideMark/>
          </w:tcPr>
          <w:p w14:paraId="04731A6B"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6,7%</w:t>
            </w:r>
          </w:p>
        </w:tc>
      </w:tr>
      <w:tr w:rsidR="002F391E" w:rsidRPr="002F391E" w14:paraId="2A0FA2CF" w14:textId="77777777" w:rsidTr="003324F7">
        <w:trPr>
          <w:trHeight w:val="356"/>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14747B7E"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4</w:t>
            </w:r>
          </w:p>
        </w:tc>
        <w:tc>
          <w:tcPr>
            <w:tcW w:w="3869" w:type="dxa"/>
            <w:tcBorders>
              <w:top w:val="nil"/>
              <w:left w:val="nil"/>
              <w:bottom w:val="single" w:sz="4" w:space="0" w:color="333399"/>
              <w:right w:val="single" w:sz="4" w:space="0" w:color="333399"/>
            </w:tcBorders>
            <w:shd w:val="clear" w:color="auto" w:fill="auto"/>
            <w:noWrap/>
            <w:vAlign w:val="center"/>
            <w:hideMark/>
          </w:tcPr>
          <w:p w14:paraId="53B256AE"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SAĞLIK TESİSİ</w:t>
            </w:r>
          </w:p>
        </w:tc>
        <w:tc>
          <w:tcPr>
            <w:tcW w:w="2315" w:type="dxa"/>
            <w:tcBorders>
              <w:top w:val="nil"/>
              <w:left w:val="nil"/>
              <w:bottom w:val="single" w:sz="4" w:space="0" w:color="333399"/>
              <w:right w:val="single" w:sz="4" w:space="0" w:color="333399"/>
            </w:tcBorders>
            <w:shd w:val="clear" w:color="auto" w:fill="auto"/>
            <w:noWrap/>
            <w:vAlign w:val="center"/>
            <w:hideMark/>
          </w:tcPr>
          <w:p w14:paraId="7BB43D1B"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1.711.219.554</w:t>
            </w:r>
          </w:p>
        </w:tc>
        <w:tc>
          <w:tcPr>
            <w:tcW w:w="1186" w:type="dxa"/>
            <w:tcBorders>
              <w:top w:val="nil"/>
              <w:left w:val="nil"/>
              <w:bottom w:val="single" w:sz="4" w:space="0" w:color="333399"/>
              <w:right w:val="single" w:sz="4" w:space="0" w:color="333399"/>
            </w:tcBorders>
            <w:shd w:val="clear" w:color="auto" w:fill="auto"/>
            <w:noWrap/>
            <w:vAlign w:val="center"/>
            <w:hideMark/>
          </w:tcPr>
          <w:p w14:paraId="4C99243A"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5,7%</w:t>
            </w:r>
          </w:p>
        </w:tc>
      </w:tr>
      <w:tr w:rsidR="002F391E" w:rsidRPr="002F391E" w14:paraId="26A8C5EC" w14:textId="77777777" w:rsidTr="003324F7">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4E59B98"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5</w:t>
            </w:r>
          </w:p>
        </w:tc>
        <w:tc>
          <w:tcPr>
            <w:tcW w:w="3869" w:type="dxa"/>
            <w:tcBorders>
              <w:top w:val="nil"/>
              <w:left w:val="nil"/>
              <w:bottom w:val="single" w:sz="4" w:space="0" w:color="333399"/>
              <w:right w:val="single" w:sz="4" w:space="0" w:color="333399"/>
            </w:tcBorders>
            <w:shd w:val="clear" w:color="auto" w:fill="auto"/>
            <w:noWrap/>
            <w:vAlign w:val="center"/>
            <w:hideMark/>
          </w:tcPr>
          <w:p w14:paraId="678ED921"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TURİSTİK TESİS</w:t>
            </w:r>
          </w:p>
        </w:tc>
        <w:tc>
          <w:tcPr>
            <w:tcW w:w="2315" w:type="dxa"/>
            <w:tcBorders>
              <w:top w:val="nil"/>
              <w:left w:val="nil"/>
              <w:bottom w:val="single" w:sz="4" w:space="0" w:color="333399"/>
              <w:right w:val="single" w:sz="4" w:space="0" w:color="333399"/>
            </w:tcBorders>
            <w:shd w:val="clear" w:color="auto" w:fill="auto"/>
            <w:noWrap/>
            <w:vAlign w:val="center"/>
            <w:hideMark/>
          </w:tcPr>
          <w:p w14:paraId="6E2CA8B1"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1.678.223.401</w:t>
            </w:r>
          </w:p>
        </w:tc>
        <w:tc>
          <w:tcPr>
            <w:tcW w:w="1186" w:type="dxa"/>
            <w:tcBorders>
              <w:top w:val="nil"/>
              <w:left w:val="nil"/>
              <w:bottom w:val="single" w:sz="4" w:space="0" w:color="333399"/>
              <w:right w:val="single" w:sz="4" w:space="0" w:color="333399"/>
            </w:tcBorders>
            <w:shd w:val="clear" w:color="auto" w:fill="auto"/>
            <w:noWrap/>
            <w:vAlign w:val="center"/>
            <w:hideMark/>
          </w:tcPr>
          <w:p w14:paraId="4250891C"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5,6%</w:t>
            </w:r>
          </w:p>
        </w:tc>
      </w:tr>
      <w:tr w:rsidR="002F391E" w:rsidRPr="002F391E" w14:paraId="190EFAB5" w14:textId="77777777" w:rsidTr="003324F7">
        <w:trPr>
          <w:trHeight w:val="327"/>
        </w:trPr>
        <w:tc>
          <w:tcPr>
            <w:tcW w:w="1637" w:type="dxa"/>
            <w:tcBorders>
              <w:top w:val="nil"/>
              <w:left w:val="single" w:sz="4" w:space="0" w:color="333399"/>
              <w:bottom w:val="single" w:sz="4" w:space="0" w:color="333399"/>
              <w:right w:val="single" w:sz="4" w:space="0" w:color="333399"/>
            </w:tcBorders>
            <w:shd w:val="clear" w:color="auto" w:fill="auto"/>
            <w:noWrap/>
            <w:vAlign w:val="center"/>
            <w:hideMark/>
          </w:tcPr>
          <w:p w14:paraId="33BDC4E7"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6</w:t>
            </w:r>
          </w:p>
        </w:tc>
        <w:tc>
          <w:tcPr>
            <w:tcW w:w="3869" w:type="dxa"/>
            <w:tcBorders>
              <w:top w:val="nil"/>
              <w:left w:val="nil"/>
              <w:bottom w:val="single" w:sz="4" w:space="0" w:color="333399"/>
              <w:right w:val="single" w:sz="4" w:space="0" w:color="333399"/>
            </w:tcBorders>
            <w:shd w:val="clear" w:color="auto" w:fill="auto"/>
            <w:noWrap/>
            <w:vAlign w:val="center"/>
            <w:hideMark/>
          </w:tcPr>
          <w:p w14:paraId="1237A76A"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DİĞER YAPI</w:t>
            </w:r>
          </w:p>
        </w:tc>
        <w:tc>
          <w:tcPr>
            <w:tcW w:w="2315" w:type="dxa"/>
            <w:tcBorders>
              <w:top w:val="nil"/>
              <w:left w:val="nil"/>
              <w:bottom w:val="single" w:sz="4" w:space="0" w:color="333399"/>
              <w:right w:val="single" w:sz="4" w:space="0" w:color="333399"/>
            </w:tcBorders>
            <w:shd w:val="clear" w:color="auto" w:fill="auto"/>
            <w:noWrap/>
            <w:vAlign w:val="center"/>
            <w:hideMark/>
          </w:tcPr>
          <w:p w14:paraId="7C1E4AA5"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1.665.394.266</w:t>
            </w:r>
          </w:p>
        </w:tc>
        <w:tc>
          <w:tcPr>
            <w:tcW w:w="1186" w:type="dxa"/>
            <w:tcBorders>
              <w:top w:val="nil"/>
              <w:left w:val="nil"/>
              <w:bottom w:val="single" w:sz="4" w:space="0" w:color="333399"/>
              <w:right w:val="single" w:sz="4" w:space="0" w:color="333399"/>
            </w:tcBorders>
            <w:shd w:val="clear" w:color="auto" w:fill="auto"/>
            <w:noWrap/>
            <w:vAlign w:val="center"/>
            <w:hideMark/>
          </w:tcPr>
          <w:p w14:paraId="3122A489"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5,5%</w:t>
            </w:r>
          </w:p>
        </w:tc>
      </w:tr>
      <w:tr w:rsidR="002F391E" w:rsidRPr="002F391E" w14:paraId="420C15F5" w14:textId="77777777" w:rsidTr="003324F7">
        <w:trPr>
          <w:trHeight w:val="312"/>
        </w:trPr>
        <w:tc>
          <w:tcPr>
            <w:tcW w:w="1637" w:type="dxa"/>
            <w:tcBorders>
              <w:top w:val="nil"/>
              <w:left w:val="single" w:sz="4" w:space="0" w:color="333399"/>
              <w:bottom w:val="nil"/>
              <w:right w:val="single" w:sz="4" w:space="0" w:color="333399"/>
            </w:tcBorders>
            <w:shd w:val="clear" w:color="auto" w:fill="auto"/>
            <w:noWrap/>
            <w:vAlign w:val="center"/>
            <w:hideMark/>
          </w:tcPr>
          <w:p w14:paraId="6EB4AA8C"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7</w:t>
            </w:r>
          </w:p>
        </w:tc>
        <w:tc>
          <w:tcPr>
            <w:tcW w:w="3869" w:type="dxa"/>
            <w:tcBorders>
              <w:top w:val="nil"/>
              <w:left w:val="nil"/>
              <w:bottom w:val="single" w:sz="4" w:space="0" w:color="333399"/>
              <w:right w:val="single" w:sz="4" w:space="0" w:color="333399"/>
            </w:tcBorders>
            <w:shd w:val="clear" w:color="auto" w:fill="auto"/>
            <w:noWrap/>
            <w:vAlign w:val="center"/>
            <w:hideMark/>
          </w:tcPr>
          <w:p w14:paraId="23FFB0ED"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TİCARET MERKEZİ</w:t>
            </w:r>
          </w:p>
        </w:tc>
        <w:tc>
          <w:tcPr>
            <w:tcW w:w="2315" w:type="dxa"/>
            <w:tcBorders>
              <w:top w:val="nil"/>
              <w:left w:val="nil"/>
              <w:bottom w:val="single" w:sz="4" w:space="0" w:color="333399"/>
              <w:right w:val="single" w:sz="4" w:space="0" w:color="333399"/>
            </w:tcBorders>
            <w:shd w:val="clear" w:color="auto" w:fill="auto"/>
            <w:noWrap/>
            <w:vAlign w:val="center"/>
            <w:hideMark/>
          </w:tcPr>
          <w:p w14:paraId="23333583"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1.506.799.547</w:t>
            </w:r>
          </w:p>
        </w:tc>
        <w:tc>
          <w:tcPr>
            <w:tcW w:w="1186" w:type="dxa"/>
            <w:tcBorders>
              <w:top w:val="nil"/>
              <w:left w:val="nil"/>
              <w:bottom w:val="single" w:sz="4" w:space="0" w:color="333399"/>
              <w:right w:val="single" w:sz="4" w:space="0" w:color="333399"/>
            </w:tcBorders>
            <w:shd w:val="clear" w:color="auto" w:fill="auto"/>
            <w:noWrap/>
            <w:vAlign w:val="center"/>
            <w:hideMark/>
          </w:tcPr>
          <w:p w14:paraId="7E98AC04"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5,0%</w:t>
            </w:r>
          </w:p>
        </w:tc>
      </w:tr>
      <w:tr w:rsidR="002F391E" w:rsidRPr="002F391E" w14:paraId="6ADD4487" w14:textId="77777777" w:rsidTr="003324F7">
        <w:trPr>
          <w:trHeight w:val="327"/>
        </w:trPr>
        <w:tc>
          <w:tcPr>
            <w:tcW w:w="1637" w:type="dxa"/>
            <w:tcBorders>
              <w:top w:val="single" w:sz="4" w:space="0" w:color="auto"/>
              <w:left w:val="single" w:sz="4" w:space="0" w:color="auto"/>
              <w:bottom w:val="nil"/>
              <w:right w:val="single" w:sz="4" w:space="0" w:color="auto"/>
            </w:tcBorders>
            <w:shd w:val="clear" w:color="auto" w:fill="auto"/>
            <w:noWrap/>
            <w:vAlign w:val="center"/>
            <w:hideMark/>
          </w:tcPr>
          <w:p w14:paraId="64B31F42"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8</w:t>
            </w:r>
          </w:p>
        </w:tc>
        <w:tc>
          <w:tcPr>
            <w:tcW w:w="3869" w:type="dxa"/>
            <w:tcBorders>
              <w:top w:val="nil"/>
              <w:left w:val="single" w:sz="4" w:space="0" w:color="333399"/>
              <w:bottom w:val="single" w:sz="4" w:space="0" w:color="333399"/>
              <w:right w:val="single" w:sz="4" w:space="0" w:color="333399"/>
            </w:tcBorders>
            <w:shd w:val="clear" w:color="auto" w:fill="auto"/>
            <w:noWrap/>
            <w:vAlign w:val="center"/>
            <w:hideMark/>
          </w:tcPr>
          <w:p w14:paraId="46C31D37"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İÇME SUYU/ARITMA TESİSLERİ</w:t>
            </w:r>
          </w:p>
        </w:tc>
        <w:tc>
          <w:tcPr>
            <w:tcW w:w="2315" w:type="dxa"/>
            <w:tcBorders>
              <w:top w:val="nil"/>
              <w:left w:val="nil"/>
              <w:bottom w:val="single" w:sz="4" w:space="0" w:color="333399"/>
              <w:right w:val="single" w:sz="4" w:space="0" w:color="333399"/>
            </w:tcBorders>
            <w:shd w:val="clear" w:color="auto" w:fill="auto"/>
            <w:noWrap/>
            <w:vAlign w:val="center"/>
            <w:hideMark/>
          </w:tcPr>
          <w:p w14:paraId="46449295"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1.499.798.601</w:t>
            </w:r>
          </w:p>
        </w:tc>
        <w:tc>
          <w:tcPr>
            <w:tcW w:w="1186" w:type="dxa"/>
            <w:tcBorders>
              <w:top w:val="nil"/>
              <w:left w:val="nil"/>
              <w:bottom w:val="single" w:sz="4" w:space="0" w:color="333399"/>
              <w:right w:val="single" w:sz="4" w:space="0" w:color="333399"/>
            </w:tcBorders>
            <w:shd w:val="clear" w:color="auto" w:fill="auto"/>
            <w:noWrap/>
            <w:vAlign w:val="center"/>
            <w:hideMark/>
          </w:tcPr>
          <w:p w14:paraId="4FB84288"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5,0%</w:t>
            </w:r>
          </w:p>
        </w:tc>
      </w:tr>
      <w:tr w:rsidR="002F391E" w:rsidRPr="002F391E" w14:paraId="272875A6" w14:textId="77777777" w:rsidTr="003324F7">
        <w:trPr>
          <w:trHeight w:val="312"/>
        </w:trPr>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AE92D"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9</w:t>
            </w:r>
          </w:p>
        </w:tc>
        <w:tc>
          <w:tcPr>
            <w:tcW w:w="3869" w:type="dxa"/>
            <w:tcBorders>
              <w:top w:val="nil"/>
              <w:left w:val="single" w:sz="4" w:space="0" w:color="333399"/>
              <w:bottom w:val="single" w:sz="4" w:space="0" w:color="333399"/>
              <w:right w:val="single" w:sz="4" w:space="0" w:color="333399"/>
            </w:tcBorders>
            <w:shd w:val="clear" w:color="auto" w:fill="auto"/>
            <w:noWrap/>
            <w:vAlign w:val="center"/>
            <w:hideMark/>
          </w:tcPr>
          <w:p w14:paraId="62F0402F"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SOSYAL/KÜLTÜREL TESİS</w:t>
            </w:r>
          </w:p>
        </w:tc>
        <w:tc>
          <w:tcPr>
            <w:tcW w:w="2315" w:type="dxa"/>
            <w:tcBorders>
              <w:top w:val="nil"/>
              <w:left w:val="nil"/>
              <w:bottom w:val="single" w:sz="4" w:space="0" w:color="333399"/>
              <w:right w:val="single" w:sz="4" w:space="0" w:color="333399"/>
            </w:tcBorders>
            <w:shd w:val="clear" w:color="auto" w:fill="auto"/>
            <w:noWrap/>
            <w:vAlign w:val="center"/>
            <w:hideMark/>
          </w:tcPr>
          <w:p w14:paraId="35DB26F0"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1.287.683.170</w:t>
            </w:r>
          </w:p>
        </w:tc>
        <w:tc>
          <w:tcPr>
            <w:tcW w:w="1186" w:type="dxa"/>
            <w:tcBorders>
              <w:top w:val="nil"/>
              <w:left w:val="nil"/>
              <w:bottom w:val="single" w:sz="4" w:space="0" w:color="333399"/>
              <w:right w:val="single" w:sz="4" w:space="0" w:color="333399"/>
            </w:tcBorders>
            <w:shd w:val="clear" w:color="auto" w:fill="auto"/>
            <w:noWrap/>
            <w:vAlign w:val="center"/>
            <w:hideMark/>
          </w:tcPr>
          <w:p w14:paraId="33719330"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4,3%</w:t>
            </w:r>
          </w:p>
        </w:tc>
      </w:tr>
      <w:tr w:rsidR="002F391E" w:rsidRPr="002F391E" w14:paraId="3EF88765" w14:textId="77777777" w:rsidTr="003324F7">
        <w:trPr>
          <w:trHeight w:val="327"/>
        </w:trPr>
        <w:tc>
          <w:tcPr>
            <w:tcW w:w="1637" w:type="dxa"/>
            <w:tcBorders>
              <w:top w:val="nil"/>
              <w:left w:val="single" w:sz="4" w:space="0" w:color="auto"/>
              <w:bottom w:val="single" w:sz="4" w:space="0" w:color="auto"/>
              <w:right w:val="single" w:sz="4" w:space="0" w:color="auto"/>
            </w:tcBorders>
            <w:shd w:val="clear" w:color="auto" w:fill="auto"/>
            <w:noWrap/>
            <w:vAlign w:val="center"/>
            <w:hideMark/>
          </w:tcPr>
          <w:p w14:paraId="563639A5"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10</w:t>
            </w:r>
          </w:p>
        </w:tc>
        <w:tc>
          <w:tcPr>
            <w:tcW w:w="3869" w:type="dxa"/>
            <w:tcBorders>
              <w:top w:val="nil"/>
              <w:left w:val="single" w:sz="4" w:space="0" w:color="333399"/>
              <w:bottom w:val="single" w:sz="4" w:space="0" w:color="333399"/>
              <w:right w:val="single" w:sz="4" w:space="0" w:color="333399"/>
            </w:tcBorders>
            <w:shd w:val="clear" w:color="auto" w:fill="auto"/>
            <w:noWrap/>
            <w:vAlign w:val="center"/>
            <w:hideMark/>
          </w:tcPr>
          <w:p w14:paraId="794E4EB2"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HAVALİMANI</w:t>
            </w:r>
          </w:p>
        </w:tc>
        <w:tc>
          <w:tcPr>
            <w:tcW w:w="2315" w:type="dxa"/>
            <w:tcBorders>
              <w:top w:val="nil"/>
              <w:left w:val="nil"/>
              <w:bottom w:val="single" w:sz="4" w:space="0" w:color="333399"/>
              <w:right w:val="single" w:sz="4" w:space="0" w:color="333399"/>
            </w:tcBorders>
            <w:shd w:val="clear" w:color="auto" w:fill="auto"/>
            <w:noWrap/>
            <w:vAlign w:val="center"/>
            <w:hideMark/>
          </w:tcPr>
          <w:p w14:paraId="4C2E081C"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1.279.290.260</w:t>
            </w:r>
          </w:p>
        </w:tc>
        <w:tc>
          <w:tcPr>
            <w:tcW w:w="1186" w:type="dxa"/>
            <w:tcBorders>
              <w:top w:val="nil"/>
              <w:left w:val="nil"/>
              <w:bottom w:val="single" w:sz="4" w:space="0" w:color="333399"/>
              <w:right w:val="single" w:sz="4" w:space="0" w:color="333399"/>
            </w:tcBorders>
            <w:shd w:val="clear" w:color="auto" w:fill="auto"/>
            <w:noWrap/>
            <w:vAlign w:val="center"/>
            <w:hideMark/>
          </w:tcPr>
          <w:p w14:paraId="1CFA0758"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4,2%</w:t>
            </w:r>
          </w:p>
        </w:tc>
      </w:tr>
      <w:tr w:rsidR="002F391E" w:rsidRPr="002F391E" w14:paraId="0A51CC87" w14:textId="77777777" w:rsidTr="003324F7">
        <w:trPr>
          <w:trHeight w:val="327"/>
        </w:trPr>
        <w:tc>
          <w:tcPr>
            <w:tcW w:w="550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A64CF" w14:textId="77777777" w:rsidR="002F391E" w:rsidRPr="002F391E" w:rsidRDefault="002F391E" w:rsidP="002F391E">
            <w:pPr>
              <w:spacing w:after="0" w:line="240" w:lineRule="auto"/>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 xml:space="preserve">               TOPLAM</w:t>
            </w:r>
          </w:p>
        </w:tc>
        <w:tc>
          <w:tcPr>
            <w:tcW w:w="2315" w:type="dxa"/>
            <w:tcBorders>
              <w:top w:val="nil"/>
              <w:left w:val="nil"/>
              <w:bottom w:val="single" w:sz="4" w:space="0" w:color="333399"/>
              <w:right w:val="single" w:sz="4" w:space="0" w:color="333399"/>
            </w:tcBorders>
            <w:shd w:val="clear" w:color="auto" w:fill="auto"/>
            <w:noWrap/>
            <w:vAlign w:val="center"/>
            <w:hideMark/>
          </w:tcPr>
          <w:p w14:paraId="4CCA5A26"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30.181.617.805</w:t>
            </w:r>
          </w:p>
        </w:tc>
        <w:tc>
          <w:tcPr>
            <w:tcW w:w="1186" w:type="dxa"/>
            <w:tcBorders>
              <w:top w:val="nil"/>
              <w:left w:val="nil"/>
              <w:bottom w:val="single" w:sz="4" w:space="0" w:color="333399"/>
              <w:right w:val="single" w:sz="4" w:space="0" w:color="333399"/>
            </w:tcBorders>
            <w:shd w:val="clear" w:color="auto" w:fill="auto"/>
            <w:noWrap/>
            <w:vAlign w:val="center"/>
            <w:hideMark/>
          </w:tcPr>
          <w:p w14:paraId="09F154E0" w14:textId="77777777" w:rsidR="002F391E" w:rsidRPr="002F391E" w:rsidRDefault="002F391E" w:rsidP="002F391E">
            <w:pPr>
              <w:spacing w:after="0" w:line="240" w:lineRule="auto"/>
              <w:jc w:val="center"/>
              <w:rPr>
                <w:rFonts w:ascii="Century Gothic" w:eastAsia="Times New Roman" w:hAnsi="Century Gothic" w:cs="Arial TUR"/>
                <w:b/>
                <w:bCs/>
                <w:color w:val="000080"/>
                <w:sz w:val="20"/>
                <w:szCs w:val="20"/>
                <w:lang w:eastAsia="tr-TR"/>
              </w:rPr>
            </w:pPr>
            <w:r w:rsidRPr="002F391E">
              <w:rPr>
                <w:rFonts w:ascii="Century Gothic" w:eastAsia="Times New Roman" w:hAnsi="Century Gothic" w:cs="Arial TUR"/>
                <w:b/>
                <w:bCs/>
                <w:color w:val="000080"/>
                <w:sz w:val="20"/>
                <w:szCs w:val="20"/>
                <w:lang w:eastAsia="tr-TR"/>
              </w:rPr>
              <w:t>100,0%</w:t>
            </w:r>
          </w:p>
        </w:tc>
      </w:tr>
    </w:tbl>
    <w:p w14:paraId="07F6768D" w14:textId="77777777" w:rsidR="00925612" w:rsidRDefault="00925612" w:rsidP="00BB5CFD">
      <w:pPr>
        <w:spacing w:after="0" w:line="240" w:lineRule="auto"/>
        <w:jc w:val="both"/>
        <w:rPr>
          <w:rFonts w:ascii="Times New Roman" w:hAnsi="Times New Roman" w:cs="Times New Roman"/>
          <w:sz w:val="24"/>
          <w:szCs w:val="24"/>
        </w:rPr>
      </w:pPr>
    </w:p>
    <w:p w14:paraId="30A401E3" w14:textId="77777777" w:rsidR="00925612" w:rsidRDefault="00925612" w:rsidP="00925612">
      <w:pPr>
        <w:spacing w:after="0" w:line="240" w:lineRule="auto"/>
        <w:ind w:left="360"/>
        <w:jc w:val="both"/>
        <w:rPr>
          <w:rFonts w:ascii="Times New Roman" w:hAnsi="Times New Roman" w:cs="Times New Roman"/>
          <w:b/>
          <w:sz w:val="24"/>
          <w:szCs w:val="24"/>
        </w:rPr>
      </w:pPr>
    </w:p>
    <w:p w14:paraId="4B32774E" w14:textId="1EE930AB" w:rsidR="00FD57E7" w:rsidRPr="00925612" w:rsidRDefault="00925612" w:rsidP="00925612">
      <w:pPr>
        <w:pStyle w:val="ListeParagraf"/>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S</w:t>
      </w:r>
      <w:r w:rsidR="00340A9E" w:rsidRPr="00925612">
        <w:rPr>
          <w:rFonts w:ascii="Times New Roman" w:hAnsi="Times New Roman" w:cs="Times New Roman"/>
          <w:b/>
          <w:sz w:val="24"/>
          <w:szCs w:val="24"/>
        </w:rPr>
        <w:t xml:space="preserve">EKTÖRÜN PERFORMANSINA İLİŞKİN DEĞERLENDİRME </w:t>
      </w:r>
    </w:p>
    <w:p w14:paraId="6A17D92E" w14:textId="77777777" w:rsidR="00F603EA" w:rsidRPr="00F603EA" w:rsidRDefault="00F603EA" w:rsidP="00F603EA">
      <w:pPr>
        <w:spacing w:after="0" w:line="240" w:lineRule="auto"/>
        <w:jc w:val="both"/>
        <w:rPr>
          <w:rFonts w:ascii="Times New Roman" w:hAnsi="Times New Roman" w:cs="Times New Roman"/>
          <w:b/>
          <w:sz w:val="24"/>
          <w:szCs w:val="24"/>
        </w:rPr>
      </w:pPr>
    </w:p>
    <w:p w14:paraId="2FF39E7E" w14:textId="7DCCEEA5" w:rsidR="00E44A8A"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Türk müteahhit</w:t>
      </w:r>
      <w:r w:rsidR="00ED6F49">
        <w:rPr>
          <w:rFonts w:ascii="Times New Roman" w:hAnsi="Times New Roman" w:cs="Times New Roman"/>
          <w:color w:val="000000" w:themeColor="text1"/>
          <w:sz w:val="24"/>
          <w:szCs w:val="24"/>
        </w:rPr>
        <w:t xml:space="preserve">lik sektörünün yurt dışı serüveninin ilk 30 yılında yani </w:t>
      </w:r>
      <w:r w:rsidRPr="00437393">
        <w:rPr>
          <w:rFonts w:ascii="Times New Roman" w:hAnsi="Times New Roman" w:cs="Times New Roman"/>
          <w:color w:val="000000" w:themeColor="text1"/>
          <w:sz w:val="24"/>
          <w:szCs w:val="24"/>
        </w:rPr>
        <w:t>1972</w:t>
      </w:r>
      <w:r w:rsidR="00437393">
        <w:rPr>
          <w:rFonts w:ascii="Times New Roman" w:hAnsi="Times New Roman" w:cs="Times New Roman"/>
          <w:color w:val="000000" w:themeColor="text1"/>
          <w:sz w:val="24"/>
          <w:szCs w:val="24"/>
        </w:rPr>
        <w:t>-</w:t>
      </w:r>
      <w:r w:rsidRPr="00437393">
        <w:rPr>
          <w:rFonts w:ascii="Times New Roman" w:hAnsi="Times New Roman" w:cs="Times New Roman"/>
          <w:color w:val="000000" w:themeColor="text1"/>
          <w:sz w:val="24"/>
          <w:szCs w:val="24"/>
        </w:rPr>
        <w:t>2002</w:t>
      </w:r>
      <w:r w:rsidRPr="00957299">
        <w:rPr>
          <w:rFonts w:ascii="Times New Roman" w:hAnsi="Times New Roman" w:cs="Times New Roman"/>
          <w:color w:val="000000" w:themeColor="text1"/>
          <w:sz w:val="24"/>
          <w:szCs w:val="24"/>
        </w:rPr>
        <w:t xml:space="preserve"> döneminde, </w:t>
      </w:r>
      <w:r w:rsidR="006F0CB6">
        <w:rPr>
          <w:rFonts w:ascii="Times New Roman" w:hAnsi="Times New Roman" w:cs="Times New Roman"/>
          <w:color w:val="000000" w:themeColor="text1"/>
          <w:sz w:val="24"/>
          <w:szCs w:val="24"/>
        </w:rPr>
        <w:t xml:space="preserve">yurt </w:t>
      </w:r>
      <w:r w:rsidRPr="00957299">
        <w:rPr>
          <w:rFonts w:ascii="Times New Roman" w:hAnsi="Times New Roman" w:cs="Times New Roman"/>
          <w:color w:val="000000" w:themeColor="text1"/>
          <w:sz w:val="24"/>
          <w:szCs w:val="24"/>
        </w:rPr>
        <w:t xml:space="preserve">dışında </w:t>
      </w:r>
      <w:r w:rsidR="002D30A4">
        <w:rPr>
          <w:rFonts w:ascii="Times New Roman" w:hAnsi="Times New Roman" w:cs="Times New Roman"/>
          <w:color w:val="000000" w:themeColor="text1"/>
          <w:sz w:val="24"/>
          <w:szCs w:val="24"/>
        </w:rPr>
        <w:t>50</w:t>
      </w:r>
      <w:r w:rsidRPr="00957299">
        <w:rPr>
          <w:rFonts w:ascii="Times New Roman" w:hAnsi="Times New Roman" w:cs="Times New Roman"/>
          <w:color w:val="000000" w:themeColor="text1"/>
          <w:sz w:val="24"/>
          <w:szCs w:val="24"/>
        </w:rPr>
        <w:t xml:space="preserve"> milyar dolar</w:t>
      </w:r>
      <w:r w:rsidR="00ED6F49" w:rsidRPr="00ED6F49">
        <w:rPr>
          <w:rFonts w:ascii="Times New Roman" w:hAnsi="Times New Roman" w:cs="Times New Roman"/>
          <w:color w:val="000000" w:themeColor="text1"/>
          <w:sz w:val="24"/>
          <w:szCs w:val="24"/>
        </w:rPr>
        <w:t xml:space="preserve"> </w:t>
      </w:r>
      <w:r w:rsidR="00ED6F49">
        <w:rPr>
          <w:rFonts w:ascii="Times New Roman" w:hAnsi="Times New Roman" w:cs="Times New Roman"/>
          <w:color w:val="000000" w:themeColor="text1"/>
          <w:sz w:val="24"/>
          <w:szCs w:val="24"/>
        </w:rPr>
        <w:t>değerinde proje üstlenilmiştir</w:t>
      </w:r>
      <w:r w:rsidR="006F0CB6">
        <w:rPr>
          <w:rFonts w:ascii="Times New Roman" w:hAnsi="Times New Roman" w:cs="Times New Roman"/>
          <w:color w:val="000000" w:themeColor="text1"/>
          <w:sz w:val="24"/>
          <w:szCs w:val="24"/>
        </w:rPr>
        <w:t xml:space="preserve">. 2002 yılından beri ise, yurt </w:t>
      </w:r>
      <w:r w:rsidRPr="00957299">
        <w:rPr>
          <w:rFonts w:ascii="Times New Roman" w:hAnsi="Times New Roman" w:cs="Times New Roman"/>
          <w:color w:val="000000" w:themeColor="text1"/>
          <w:sz w:val="24"/>
          <w:szCs w:val="24"/>
        </w:rPr>
        <w:t xml:space="preserve">dışında üstlenilen iş hacmi </w:t>
      </w:r>
      <w:r w:rsidR="001516F0">
        <w:rPr>
          <w:rFonts w:ascii="Times New Roman" w:hAnsi="Times New Roman" w:cs="Times New Roman"/>
          <w:color w:val="000000" w:themeColor="text1"/>
          <w:sz w:val="24"/>
          <w:szCs w:val="24"/>
        </w:rPr>
        <w:t>4</w:t>
      </w:r>
      <w:r w:rsidR="00026B82">
        <w:rPr>
          <w:rFonts w:ascii="Times New Roman" w:hAnsi="Times New Roman" w:cs="Times New Roman"/>
          <w:color w:val="000000" w:themeColor="text1"/>
          <w:sz w:val="24"/>
          <w:szCs w:val="24"/>
        </w:rPr>
        <w:t>8</w:t>
      </w:r>
      <w:r w:rsidR="005B1B16">
        <w:rPr>
          <w:rFonts w:ascii="Times New Roman" w:hAnsi="Times New Roman" w:cs="Times New Roman"/>
          <w:color w:val="000000" w:themeColor="text1"/>
          <w:sz w:val="24"/>
          <w:szCs w:val="24"/>
        </w:rPr>
        <w:t>5</w:t>
      </w:r>
      <w:r w:rsidRPr="00957299">
        <w:rPr>
          <w:rFonts w:ascii="Times New Roman" w:hAnsi="Times New Roman" w:cs="Times New Roman"/>
          <w:color w:val="000000" w:themeColor="text1"/>
          <w:sz w:val="24"/>
          <w:szCs w:val="24"/>
        </w:rPr>
        <w:t xml:space="preserve"> milyar dolar</w:t>
      </w:r>
      <w:r w:rsidR="00E15070">
        <w:rPr>
          <w:rFonts w:ascii="Times New Roman" w:hAnsi="Times New Roman" w:cs="Times New Roman"/>
          <w:color w:val="000000" w:themeColor="text1"/>
          <w:sz w:val="24"/>
          <w:szCs w:val="24"/>
        </w:rPr>
        <w:t xml:space="preserve">ı aşmıştır. </w:t>
      </w:r>
      <w:r w:rsidRPr="00957299">
        <w:rPr>
          <w:rFonts w:ascii="Times New Roman" w:hAnsi="Times New Roman" w:cs="Times New Roman"/>
          <w:color w:val="000000" w:themeColor="text1"/>
          <w:sz w:val="24"/>
          <w:szCs w:val="24"/>
        </w:rPr>
        <w:t xml:space="preserve">Son </w:t>
      </w:r>
      <w:r w:rsidR="00E15070">
        <w:rPr>
          <w:rFonts w:ascii="Times New Roman" w:hAnsi="Times New Roman" w:cs="Times New Roman"/>
          <w:color w:val="000000" w:themeColor="text1"/>
          <w:sz w:val="24"/>
          <w:szCs w:val="24"/>
        </w:rPr>
        <w:t>20</w:t>
      </w:r>
      <w:r w:rsidRPr="00957299">
        <w:rPr>
          <w:rFonts w:ascii="Times New Roman" w:hAnsi="Times New Roman" w:cs="Times New Roman"/>
          <w:color w:val="000000" w:themeColor="text1"/>
          <w:sz w:val="24"/>
          <w:szCs w:val="24"/>
        </w:rPr>
        <w:t xml:space="preserve"> yıl içerisinde</w:t>
      </w:r>
      <w:r w:rsidR="001C0049">
        <w:rPr>
          <w:rFonts w:ascii="Times New Roman" w:hAnsi="Times New Roman" w:cs="Times New Roman"/>
          <w:color w:val="000000" w:themeColor="text1"/>
          <w:sz w:val="24"/>
          <w:szCs w:val="24"/>
        </w:rPr>
        <w:t>,</w:t>
      </w:r>
      <w:r w:rsidRPr="00957299">
        <w:rPr>
          <w:rFonts w:ascii="Times New Roman" w:hAnsi="Times New Roman" w:cs="Times New Roman"/>
          <w:color w:val="000000" w:themeColor="text1"/>
          <w:sz w:val="24"/>
          <w:szCs w:val="24"/>
        </w:rPr>
        <w:t xml:space="preserve"> Türk müteahhitleri tarafından yurt</w:t>
      </w:r>
      <w:r w:rsidR="006F0CB6">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dışında üstlenilen projelerin toplam bedeli bugüne kadar üstlenilen proje bedelinin %</w:t>
      </w:r>
      <w:r w:rsidR="00630EBF">
        <w:rPr>
          <w:rFonts w:ascii="Times New Roman" w:hAnsi="Times New Roman" w:cs="Times New Roman"/>
          <w:color w:val="000000" w:themeColor="text1"/>
          <w:sz w:val="24"/>
          <w:szCs w:val="24"/>
        </w:rPr>
        <w:t>90</w:t>
      </w:r>
      <w:r w:rsidR="000F49F7">
        <w:rPr>
          <w:rFonts w:ascii="Times New Roman" w:hAnsi="Times New Roman" w:cs="Times New Roman"/>
          <w:color w:val="000000" w:themeColor="text1"/>
          <w:sz w:val="24"/>
          <w:szCs w:val="24"/>
        </w:rPr>
        <w:t>’</w:t>
      </w:r>
      <w:r w:rsidR="00630EBF">
        <w:rPr>
          <w:rFonts w:ascii="Times New Roman" w:hAnsi="Times New Roman" w:cs="Times New Roman"/>
          <w:color w:val="000000" w:themeColor="text1"/>
          <w:sz w:val="24"/>
          <w:szCs w:val="24"/>
        </w:rPr>
        <w:t>ını</w:t>
      </w:r>
      <w:r w:rsidR="00E44A8A">
        <w:rPr>
          <w:rFonts w:ascii="Times New Roman" w:hAnsi="Times New Roman" w:cs="Times New Roman"/>
          <w:color w:val="000000" w:themeColor="text1"/>
          <w:sz w:val="24"/>
          <w:szCs w:val="24"/>
        </w:rPr>
        <w:t>ndan fazlasını</w:t>
      </w:r>
      <w:r w:rsidR="000F49F7">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 xml:space="preserve">oluşturmaktadır. Benzer şekilde, 2001 yılında 2,9 milyar dolar olan projelerin yıllık toplam bedeli 10 katına çıkarak </w:t>
      </w:r>
      <w:r w:rsidR="00CC041E">
        <w:rPr>
          <w:rFonts w:ascii="Times New Roman" w:hAnsi="Times New Roman" w:cs="Times New Roman"/>
          <w:color w:val="000000" w:themeColor="text1"/>
          <w:sz w:val="24"/>
          <w:szCs w:val="24"/>
        </w:rPr>
        <w:t xml:space="preserve">2012, </w:t>
      </w:r>
      <w:r w:rsidRPr="00957299">
        <w:rPr>
          <w:rFonts w:ascii="Times New Roman" w:hAnsi="Times New Roman" w:cs="Times New Roman"/>
          <w:color w:val="000000" w:themeColor="text1"/>
          <w:sz w:val="24"/>
          <w:szCs w:val="24"/>
        </w:rPr>
        <w:t xml:space="preserve">2013 </w:t>
      </w:r>
      <w:r w:rsidR="00CC041E">
        <w:rPr>
          <w:rFonts w:ascii="Times New Roman" w:hAnsi="Times New Roman" w:cs="Times New Roman"/>
          <w:color w:val="000000" w:themeColor="text1"/>
          <w:sz w:val="24"/>
          <w:szCs w:val="24"/>
        </w:rPr>
        <w:t xml:space="preserve">ve 2021 </w:t>
      </w:r>
      <w:r w:rsidRPr="00957299">
        <w:rPr>
          <w:rFonts w:ascii="Times New Roman" w:hAnsi="Times New Roman" w:cs="Times New Roman"/>
          <w:color w:val="000000" w:themeColor="text1"/>
          <w:sz w:val="24"/>
          <w:szCs w:val="24"/>
        </w:rPr>
        <w:t>yıl</w:t>
      </w:r>
      <w:r w:rsidR="00B15925" w:rsidRPr="00957299">
        <w:rPr>
          <w:rFonts w:ascii="Times New Roman" w:hAnsi="Times New Roman" w:cs="Times New Roman"/>
          <w:color w:val="000000" w:themeColor="text1"/>
          <w:sz w:val="24"/>
          <w:szCs w:val="24"/>
        </w:rPr>
        <w:t>lar</w:t>
      </w:r>
      <w:r w:rsidRPr="00957299">
        <w:rPr>
          <w:rFonts w:ascii="Times New Roman" w:hAnsi="Times New Roman" w:cs="Times New Roman"/>
          <w:color w:val="000000" w:themeColor="text1"/>
          <w:sz w:val="24"/>
          <w:szCs w:val="24"/>
        </w:rPr>
        <w:t xml:space="preserve">ında </w:t>
      </w:r>
      <w:r w:rsidR="002D30A4">
        <w:rPr>
          <w:rFonts w:ascii="Times New Roman" w:hAnsi="Times New Roman" w:cs="Times New Roman"/>
          <w:color w:val="000000" w:themeColor="text1"/>
          <w:sz w:val="24"/>
          <w:szCs w:val="24"/>
        </w:rPr>
        <w:t xml:space="preserve">30 </w:t>
      </w:r>
      <w:r w:rsidRPr="00957299">
        <w:rPr>
          <w:rFonts w:ascii="Times New Roman" w:hAnsi="Times New Roman" w:cs="Times New Roman"/>
          <w:color w:val="000000" w:themeColor="text1"/>
          <w:sz w:val="24"/>
          <w:szCs w:val="24"/>
        </w:rPr>
        <w:t>milyar dolar</w:t>
      </w:r>
      <w:r w:rsidR="00CC041E">
        <w:rPr>
          <w:rFonts w:ascii="Times New Roman" w:hAnsi="Times New Roman" w:cs="Times New Roman"/>
          <w:color w:val="000000" w:themeColor="text1"/>
          <w:sz w:val="24"/>
          <w:szCs w:val="24"/>
        </w:rPr>
        <w:t>ın üzerin</w:t>
      </w:r>
      <w:r w:rsidR="002D30A4">
        <w:rPr>
          <w:rFonts w:ascii="Times New Roman" w:hAnsi="Times New Roman" w:cs="Times New Roman"/>
          <w:color w:val="000000" w:themeColor="text1"/>
          <w:sz w:val="24"/>
          <w:szCs w:val="24"/>
        </w:rPr>
        <w:t xml:space="preserve">e </w:t>
      </w:r>
      <w:r w:rsidRPr="00957299">
        <w:rPr>
          <w:rFonts w:ascii="Times New Roman" w:hAnsi="Times New Roman" w:cs="Times New Roman"/>
          <w:color w:val="000000" w:themeColor="text1"/>
          <w:sz w:val="24"/>
          <w:szCs w:val="24"/>
        </w:rPr>
        <w:t>yüksel</w:t>
      </w:r>
      <w:r w:rsidR="006F0CB6">
        <w:rPr>
          <w:rFonts w:ascii="Times New Roman" w:hAnsi="Times New Roman" w:cs="Times New Roman"/>
          <w:color w:val="000000" w:themeColor="text1"/>
          <w:sz w:val="24"/>
          <w:szCs w:val="24"/>
        </w:rPr>
        <w:t xml:space="preserve">miştir. </w:t>
      </w:r>
      <w:r w:rsidR="00E44A8A">
        <w:rPr>
          <w:rFonts w:ascii="Times New Roman" w:hAnsi="Times New Roman" w:cs="Times New Roman"/>
          <w:color w:val="000000" w:themeColor="text1"/>
          <w:sz w:val="24"/>
          <w:szCs w:val="24"/>
        </w:rPr>
        <w:t xml:space="preserve">Bu süreçte, </w:t>
      </w:r>
      <w:r w:rsidR="00CC041E">
        <w:rPr>
          <w:rFonts w:ascii="Times New Roman" w:hAnsi="Times New Roman" w:cs="Times New Roman"/>
          <w:color w:val="000000" w:themeColor="text1"/>
          <w:sz w:val="24"/>
          <w:szCs w:val="24"/>
        </w:rPr>
        <w:t>ülkemiz müteahhitlik sektörü</w:t>
      </w:r>
      <w:r w:rsidR="00E44A8A">
        <w:rPr>
          <w:rFonts w:ascii="Times New Roman" w:hAnsi="Times New Roman" w:cs="Times New Roman"/>
          <w:color w:val="000000" w:themeColor="text1"/>
          <w:sz w:val="24"/>
          <w:szCs w:val="24"/>
        </w:rPr>
        <w:t>nün</w:t>
      </w:r>
      <w:r w:rsidR="00CC041E">
        <w:rPr>
          <w:rFonts w:ascii="Times New Roman" w:hAnsi="Times New Roman" w:cs="Times New Roman"/>
          <w:color w:val="000000" w:themeColor="text1"/>
          <w:sz w:val="24"/>
          <w:szCs w:val="24"/>
        </w:rPr>
        <w:t xml:space="preserve">, kriz dönemlerinde 15-20 milyar dolarlık büyüklük, </w:t>
      </w:r>
      <w:r w:rsidR="007A265E">
        <w:rPr>
          <w:rFonts w:ascii="Times New Roman" w:hAnsi="Times New Roman" w:cs="Times New Roman"/>
          <w:color w:val="000000" w:themeColor="text1"/>
          <w:sz w:val="24"/>
          <w:szCs w:val="24"/>
        </w:rPr>
        <w:t>yurt dışı</w:t>
      </w:r>
      <w:r w:rsidR="00CC041E">
        <w:rPr>
          <w:rFonts w:ascii="Times New Roman" w:hAnsi="Times New Roman" w:cs="Times New Roman"/>
          <w:color w:val="000000" w:themeColor="text1"/>
          <w:sz w:val="24"/>
          <w:szCs w:val="24"/>
        </w:rPr>
        <w:t xml:space="preserve"> gelişmelerin normal seyrettiği dönemlerde de 20-25 milyar dolar bandında bir büyüklük sergile</w:t>
      </w:r>
      <w:r w:rsidR="00E44A8A">
        <w:rPr>
          <w:rFonts w:ascii="Times New Roman" w:hAnsi="Times New Roman" w:cs="Times New Roman"/>
          <w:color w:val="000000" w:themeColor="text1"/>
          <w:sz w:val="24"/>
          <w:szCs w:val="24"/>
        </w:rPr>
        <w:t>diği görülmektedir</w:t>
      </w:r>
      <w:r w:rsidR="00CC041E">
        <w:rPr>
          <w:rFonts w:ascii="Times New Roman" w:hAnsi="Times New Roman" w:cs="Times New Roman"/>
          <w:color w:val="000000" w:themeColor="text1"/>
          <w:sz w:val="24"/>
          <w:szCs w:val="24"/>
        </w:rPr>
        <w:t xml:space="preserve">. </w:t>
      </w:r>
    </w:p>
    <w:p w14:paraId="30140704" w14:textId="77777777" w:rsidR="00E44A8A" w:rsidRDefault="00E44A8A" w:rsidP="00BB5CFD">
      <w:pPr>
        <w:spacing w:after="0" w:line="240" w:lineRule="auto"/>
        <w:jc w:val="both"/>
        <w:rPr>
          <w:rFonts w:ascii="Times New Roman" w:hAnsi="Times New Roman" w:cs="Times New Roman"/>
          <w:color w:val="000000" w:themeColor="text1"/>
          <w:sz w:val="24"/>
          <w:szCs w:val="24"/>
        </w:rPr>
      </w:pPr>
    </w:p>
    <w:p w14:paraId="0B5DE39F" w14:textId="799D8E5A" w:rsidR="00CC041E" w:rsidRDefault="00E44A8A"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Ancak, kriz ve belirsizlikler</w:t>
      </w:r>
      <w:r w:rsidR="00EC1806">
        <w:rPr>
          <w:rFonts w:ascii="Times New Roman" w:hAnsi="Times New Roman" w:cs="Times New Roman"/>
          <w:color w:val="000000" w:themeColor="text1"/>
          <w:sz w:val="24"/>
          <w:szCs w:val="24"/>
        </w:rPr>
        <w:t xml:space="preserve">le dolu </w:t>
      </w:r>
      <w:r>
        <w:rPr>
          <w:rFonts w:ascii="Times New Roman" w:hAnsi="Times New Roman" w:cs="Times New Roman"/>
          <w:color w:val="000000" w:themeColor="text1"/>
          <w:sz w:val="24"/>
          <w:szCs w:val="24"/>
        </w:rPr>
        <w:t>2023</w:t>
      </w:r>
      <w:r w:rsidR="00EC1806">
        <w:rPr>
          <w:rFonts w:ascii="Times New Roman" w:hAnsi="Times New Roman" w:cs="Times New Roman"/>
          <w:color w:val="000000" w:themeColor="text1"/>
          <w:sz w:val="24"/>
          <w:szCs w:val="24"/>
        </w:rPr>
        <w:t xml:space="preserve"> ve 2024 yıllarında sektör 20-25 milyar dolarlık aralığı </w:t>
      </w:r>
      <w:r w:rsidR="00BC15C9">
        <w:rPr>
          <w:rFonts w:ascii="Times New Roman" w:hAnsi="Times New Roman" w:cs="Times New Roman"/>
          <w:color w:val="000000" w:themeColor="text1"/>
          <w:sz w:val="24"/>
          <w:szCs w:val="24"/>
        </w:rPr>
        <w:t xml:space="preserve">dahi </w:t>
      </w:r>
      <w:r w:rsidR="00EC1806">
        <w:rPr>
          <w:rFonts w:ascii="Times New Roman" w:hAnsi="Times New Roman" w:cs="Times New Roman"/>
          <w:color w:val="000000" w:themeColor="text1"/>
          <w:sz w:val="24"/>
          <w:szCs w:val="24"/>
        </w:rPr>
        <w:t>aşmıştır.</w:t>
      </w:r>
      <w:r w:rsidR="00CC041E" w:rsidRPr="00C61DE0">
        <w:rPr>
          <w:rFonts w:ascii="Times New Roman" w:hAnsi="Times New Roman" w:cs="Times New Roman"/>
          <w:color w:val="000000" w:themeColor="text1"/>
          <w:sz w:val="24"/>
          <w:szCs w:val="24"/>
        </w:rPr>
        <w:t xml:space="preserve"> </w:t>
      </w:r>
      <w:r w:rsidR="00EC1806">
        <w:rPr>
          <w:rFonts w:ascii="Times New Roman" w:hAnsi="Times New Roman" w:cs="Times New Roman"/>
          <w:color w:val="000000" w:themeColor="text1"/>
          <w:sz w:val="24"/>
          <w:szCs w:val="24"/>
        </w:rPr>
        <w:t>S</w:t>
      </w:r>
      <w:r w:rsidR="00CC041E" w:rsidRPr="00C61DE0">
        <w:rPr>
          <w:rFonts w:ascii="Times New Roman" w:hAnsi="Times New Roman" w:cs="Times New Roman"/>
          <w:color w:val="000000" w:themeColor="text1"/>
          <w:sz w:val="24"/>
          <w:szCs w:val="24"/>
        </w:rPr>
        <w:t xml:space="preserve">ektörün en büyük pazarı Rusya’nın </w:t>
      </w:r>
      <w:r w:rsidR="00EC1806">
        <w:rPr>
          <w:rFonts w:ascii="Times New Roman" w:hAnsi="Times New Roman" w:cs="Times New Roman"/>
          <w:color w:val="000000" w:themeColor="text1"/>
          <w:sz w:val="24"/>
          <w:szCs w:val="24"/>
        </w:rPr>
        <w:t xml:space="preserve">Ukrayna ile savaş durumunda olması ve bu ülke ile iş yapmanın çok zorlaşmasına </w:t>
      </w:r>
      <w:r w:rsidR="00CC041E" w:rsidRPr="00C61DE0">
        <w:rPr>
          <w:rFonts w:ascii="Times New Roman" w:hAnsi="Times New Roman" w:cs="Times New Roman"/>
          <w:color w:val="000000" w:themeColor="text1"/>
          <w:sz w:val="24"/>
          <w:szCs w:val="24"/>
        </w:rPr>
        <w:t>rağmen</w:t>
      </w:r>
      <w:r w:rsidR="0085594E">
        <w:rPr>
          <w:rFonts w:ascii="Times New Roman" w:hAnsi="Times New Roman" w:cs="Times New Roman"/>
          <w:color w:val="000000" w:themeColor="text1"/>
          <w:sz w:val="24"/>
          <w:szCs w:val="24"/>
        </w:rPr>
        <w:t xml:space="preserve"> peş peşe iki yıl</w:t>
      </w:r>
      <w:r w:rsidR="00CC041E" w:rsidRPr="00C61DE0">
        <w:rPr>
          <w:rFonts w:ascii="Times New Roman" w:hAnsi="Times New Roman" w:cs="Times New Roman"/>
          <w:color w:val="000000" w:themeColor="text1"/>
          <w:sz w:val="24"/>
          <w:szCs w:val="24"/>
        </w:rPr>
        <w:t xml:space="preserve"> </w:t>
      </w:r>
      <w:r w:rsidR="00972344">
        <w:rPr>
          <w:rFonts w:ascii="Times New Roman" w:hAnsi="Times New Roman" w:cs="Times New Roman"/>
          <w:color w:val="000000" w:themeColor="text1"/>
          <w:sz w:val="24"/>
          <w:szCs w:val="24"/>
        </w:rPr>
        <w:t>28</w:t>
      </w:r>
      <w:r w:rsidR="0028563A">
        <w:rPr>
          <w:rFonts w:ascii="Times New Roman" w:hAnsi="Times New Roman" w:cs="Times New Roman"/>
          <w:color w:val="000000" w:themeColor="text1"/>
          <w:sz w:val="24"/>
          <w:szCs w:val="24"/>
        </w:rPr>
        <w:t xml:space="preserve"> </w:t>
      </w:r>
      <w:r w:rsidR="00CC041E" w:rsidRPr="00C61DE0">
        <w:rPr>
          <w:rFonts w:ascii="Times New Roman" w:hAnsi="Times New Roman" w:cs="Times New Roman"/>
          <w:color w:val="000000" w:themeColor="text1"/>
          <w:sz w:val="24"/>
          <w:szCs w:val="24"/>
        </w:rPr>
        <w:t>milyar dolar</w:t>
      </w:r>
      <w:r w:rsidR="0085594E">
        <w:rPr>
          <w:rFonts w:ascii="Times New Roman" w:hAnsi="Times New Roman" w:cs="Times New Roman"/>
          <w:color w:val="000000" w:themeColor="text1"/>
          <w:sz w:val="24"/>
          <w:szCs w:val="24"/>
        </w:rPr>
        <w:t>ın üzerinde</w:t>
      </w:r>
      <w:r w:rsidR="00CC041E" w:rsidRPr="00C61DE0">
        <w:rPr>
          <w:rFonts w:ascii="Times New Roman" w:hAnsi="Times New Roman" w:cs="Times New Roman"/>
          <w:color w:val="000000" w:themeColor="text1"/>
          <w:sz w:val="24"/>
          <w:szCs w:val="24"/>
        </w:rPr>
        <w:t xml:space="preserve"> bir </w:t>
      </w:r>
      <w:r w:rsidR="0085594E">
        <w:rPr>
          <w:rFonts w:ascii="Times New Roman" w:hAnsi="Times New Roman" w:cs="Times New Roman"/>
          <w:color w:val="000000" w:themeColor="text1"/>
          <w:sz w:val="24"/>
          <w:szCs w:val="24"/>
        </w:rPr>
        <w:t>değere ulaşılmıştır</w:t>
      </w:r>
      <w:r w:rsidR="00CC041E" w:rsidRPr="00C61DE0">
        <w:rPr>
          <w:rFonts w:ascii="Times New Roman" w:hAnsi="Times New Roman" w:cs="Times New Roman"/>
          <w:color w:val="000000" w:themeColor="text1"/>
          <w:sz w:val="24"/>
          <w:szCs w:val="24"/>
        </w:rPr>
        <w:t xml:space="preserve">. </w:t>
      </w:r>
      <w:r w:rsidR="00C61DE0" w:rsidRPr="00C61DE0">
        <w:rPr>
          <w:rFonts w:ascii="Times New Roman" w:hAnsi="Times New Roman" w:cs="Times New Roman"/>
          <w:color w:val="000000" w:themeColor="text1"/>
          <w:sz w:val="24"/>
          <w:szCs w:val="24"/>
        </w:rPr>
        <w:t>Proje sayısı ise 2017 yılından bu yana yıllık 300-500 proje arasında değişmektedir.</w:t>
      </w:r>
      <w:r w:rsidR="00C61DE0">
        <w:rPr>
          <w:rFonts w:ascii="Times New Roman" w:hAnsi="Times New Roman" w:cs="Times New Roman"/>
          <w:color w:val="000000" w:themeColor="text1"/>
          <w:sz w:val="24"/>
          <w:szCs w:val="24"/>
        </w:rPr>
        <w:t xml:space="preserve"> </w:t>
      </w:r>
      <w:r w:rsidR="00732C28">
        <w:rPr>
          <w:rFonts w:ascii="Times New Roman" w:hAnsi="Times New Roman" w:cs="Times New Roman"/>
          <w:color w:val="000000" w:themeColor="text1"/>
          <w:sz w:val="24"/>
          <w:szCs w:val="24"/>
        </w:rPr>
        <w:t xml:space="preserve">2023 yılında 28,6 milyar dolara </w:t>
      </w:r>
      <w:r w:rsidR="005B1B16">
        <w:rPr>
          <w:rFonts w:ascii="Times New Roman" w:hAnsi="Times New Roman" w:cs="Times New Roman"/>
          <w:color w:val="000000" w:themeColor="text1"/>
          <w:sz w:val="24"/>
          <w:szCs w:val="24"/>
        </w:rPr>
        <w:t>44</w:t>
      </w:r>
      <w:r w:rsidR="003324F7">
        <w:rPr>
          <w:rFonts w:ascii="Times New Roman" w:hAnsi="Times New Roman" w:cs="Times New Roman"/>
          <w:color w:val="000000" w:themeColor="text1"/>
          <w:sz w:val="24"/>
          <w:szCs w:val="24"/>
        </w:rPr>
        <w:t>5</w:t>
      </w:r>
      <w:r w:rsidR="00732C28">
        <w:rPr>
          <w:rFonts w:ascii="Times New Roman" w:hAnsi="Times New Roman" w:cs="Times New Roman"/>
          <w:color w:val="000000" w:themeColor="text1"/>
          <w:sz w:val="24"/>
          <w:szCs w:val="24"/>
        </w:rPr>
        <w:t xml:space="preserve"> proje ile ulaşılırken, 2024 yılında </w:t>
      </w:r>
      <w:r w:rsidR="003324F7">
        <w:rPr>
          <w:rFonts w:ascii="Times New Roman" w:hAnsi="Times New Roman" w:cs="Times New Roman"/>
          <w:color w:val="000000" w:themeColor="text1"/>
          <w:sz w:val="24"/>
          <w:szCs w:val="24"/>
        </w:rPr>
        <w:t>371</w:t>
      </w:r>
      <w:r w:rsidR="00732C28">
        <w:rPr>
          <w:rFonts w:ascii="Times New Roman" w:hAnsi="Times New Roman" w:cs="Times New Roman"/>
          <w:color w:val="000000" w:themeColor="text1"/>
          <w:sz w:val="24"/>
          <w:szCs w:val="24"/>
        </w:rPr>
        <w:t xml:space="preserve"> projenin toplam değeri </w:t>
      </w:r>
      <w:r w:rsidR="003324F7">
        <w:rPr>
          <w:rFonts w:ascii="Times New Roman" w:hAnsi="Times New Roman" w:cs="Times New Roman"/>
          <w:color w:val="000000" w:themeColor="text1"/>
          <w:sz w:val="24"/>
          <w:szCs w:val="24"/>
        </w:rPr>
        <w:t>30,2</w:t>
      </w:r>
      <w:r w:rsidR="00732C28">
        <w:rPr>
          <w:rFonts w:ascii="Times New Roman" w:hAnsi="Times New Roman" w:cs="Times New Roman"/>
          <w:color w:val="000000" w:themeColor="text1"/>
          <w:sz w:val="24"/>
          <w:szCs w:val="24"/>
        </w:rPr>
        <w:t xml:space="preserve"> milyar olmuştur. 2024 yılında bu büyüklüğe büyük ölçekli projeler sayesinde erişilmiştir.</w:t>
      </w:r>
    </w:p>
    <w:p w14:paraId="2BF202F6" w14:textId="77777777" w:rsidR="00F603EA" w:rsidRDefault="00F603EA" w:rsidP="00BB5CFD">
      <w:pPr>
        <w:spacing w:after="0" w:line="240" w:lineRule="auto"/>
        <w:jc w:val="both"/>
        <w:rPr>
          <w:rFonts w:ascii="Times New Roman" w:hAnsi="Times New Roman" w:cs="Times New Roman"/>
          <w:color w:val="000000" w:themeColor="text1"/>
          <w:sz w:val="24"/>
          <w:szCs w:val="24"/>
        </w:rPr>
      </w:pPr>
    </w:p>
    <w:p w14:paraId="7E6853AE" w14:textId="08599C61" w:rsidR="00FD57E7"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Gelişim sadece nicelik olarak değil, nite</w:t>
      </w:r>
      <w:r w:rsidR="00D67623" w:rsidRPr="00957299">
        <w:rPr>
          <w:rFonts w:ascii="Times New Roman" w:hAnsi="Times New Roman" w:cs="Times New Roman"/>
          <w:color w:val="000000" w:themeColor="text1"/>
          <w:sz w:val="24"/>
          <w:szCs w:val="24"/>
        </w:rPr>
        <w:t xml:space="preserve">lik açısından da olmuştur. </w:t>
      </w:r>
      <w:r w:rsidR="004E7B1A">
        <w:rPr>
          <w:rFonts w:ascii="Times New Roman" w:hAnsi="Times New Roman" w:cs="Times New Roman"/>
          <w:color w:val="000000" w:themeColor="text1"/>
          <w:sz w:val="24"/>
          <w:szCs w:val="24"/>
        </w:rPr>
        <w:t>Yurt</w:t>
      </w:r>
      <w:r w:rsidR="006F0CB6">
        <w:rPr>
          <w:rFonts w:ascii="Times New Roman" w:hAnsi="Times New Roman" w:cs="Times New Roman"/>
          <w:color w:val="000000" w:themeColor="text1"/>
          <w:sz w:val="24"/>
          <w:szCs w:val="24"/>
        </w:rPr>
        <w:t xml:space="preserve"> </w:t>
      </w:r>
      <w:r w:rsidR="004E7B1A">
        <w:rPr>
          <w:rFonts w:ascii="Times New Roman" w:hAnsi="Times New Roman" w:cs="Times New Roman"/>
          <w:color w:val="000000" w:themeColor="text1"/>
          <w:sz w:val="24"/>
          <w:szCs w:val="24"/>
        </w:rPr>
        <w:t>dışında</w:t>
      </w:r>
      <w:r w:rsidRPr="00957299">
        <w:rPr>
          <w:rFonts w:ascii="Times New Roman" w:hAnsi="Times New Roman" w:cs="Times New Roman"/>
          <w:color w:val="000000" w:themeColor="text1"/>
          <w:sz w:val="24"/>
          <w:szCs w:val="24"/>
        </w:rPr>
        <w:t xml:space="preserve"> üstlenilen proje</w:t>
      </w:r>
      <w:r w:rsidR="00D67623" w:rsidRPr="00957299">
        <w:rPr>
          <w:rFonts w:ascii="Times New Roman" w:hAnsi="Times New Roman" w:cs="Times New Roman"/>
          <w:color w:val="000000" w:themeColor="text1"/>
          <w:sz w:val="24"/>
          <w:szCs w:val="24"/>
        </w:rPr>
        <w:t>lerin</w:t>
      </w:r>
      <w:r w:rsidRPr="00957299">
        <w:rPr>
          <w:rFonts w:ascii="Times New Roman" w:hAnsi="Times New Roman" w:cs="Times New Roman"/>
          <w:color w:val="000000" w:themeColor="text1"/>
          <w:sz w:val="24"/>
          <w:szCs w:val="24"/>
        </w:rPr>
        <w:t xml:space="preserve"> </w:t>
      </w:r>
      <w:r w:rsidR="00D67623" w:rsidRPr="00957299">
        <w:rPr>
          <w:rFonts w:ascii="Times New Roman" w:hAnsi="Times New Roman" w:cs="Times New Roman"/>
          <w:color w:val="000000" w:themeColor="text1"/>
          <w:sz w:val="24"/>
          <w:szCs w:val="24"/>
        </w:rPr>
        <w:t xml:space="preserve">ortalama bedeli </w:t>
      </w:r>
      <w:r w:rsidRPr="00957299">
        <w:rPr>
          <w:rFonts w:ascii="Times New Roman" w:hAnsi="Times New Roman" w:cs="Times New Roman"/>
          <w:color w:val="000000" w:themeColor="text1"/>
          <w:sz w:val="24"/>
          <w:szCs w:val="24"/>
        </w:rPr>
        <w:t xml:space="preserve">2002 yılında yaklaşık </w:t>
      </w:r>
      <w:r w:rsidR="001E3B87">
        <w:rPr>
          <w:rFonts w:ascii="Times New Roman" w:hAnsi="Times New Roman" w:cs="Times New Roman"/>
          <w:color w:val="000000" w:themeColor="text1"/>
          <w:sz w:val="24"/>
          <w:szCs w:val="24"/>
        </w:rPr>
        <w:t>21</w:t>
      </w:r>
      <w:r w:rsidR="00FD6CCF" w:rsidRPr="00957299">
        <w:rPr>
          <w:rFonts w:ascii="Times New Roman" w:hAnsi="Times New Roman" w:cs="Times New Roman"/>
          <w:color w:val="000000" w:themeColor="text1"/>
          <w:sz w:val="24"/>
          <w:szCs w:val="24"/>
        </w:rPr>
        <w:t>,</w:t>
      </w:r>
      <w:r w:rsidR="001E3B87">
        <w:rPr>
          <w:rFonts w:ascii="Times New Roman" w:hAnsi="Times New Roman" w:cs="Times New Roman"/>
          <w:color w:val="000000" w:themeColor="text1"/>
          <w:sz w:val="24"/>
          <w:szCs w:val="24"/>
        </w:rPr>
        <w:t>2</w:t>
      </w:r>
      <w:r w:rsidRPr="00957299">
        <w:rPr>
          <w:rFonts w:ascii="Times New Roman" w:hAnsi="Times New Roman" w:cs="Times New Roman"/>
          <w:color w:val="000000" w:themeColor="text1"/>
          <w:sz w:val="24"/>
          <w:szCs w:val="24"/>
        </w:rPr>
        <w:t xml:space="preserve"> mil</w:t>
      </w:r>
      <w:r w:rsidR="0031505D" w:rsidRPr="00957299">
        <w:rPr>
          <w:rFonts w:ascii="Times New Roman" w:hAnsi="Times New Roman" w:cs="Times New Roman"/>
          <w:color w:val="000000" w:themeColor="text1"/>
          <w:sz w:val="24"/>
          <w:szCs w:val="24"/>
        </w:rPr>
        <w:t>yon dolar iken</w:t>
      </w:r>
      <w:r w:rsidR="00FA3E1F" w:rsidRPr="00957299">
        <w:rPr>
          <w:rFonts w:ascii="Times New Roman" w:hAnsi="Times New Roman" w:cs="Times New Roman"/>
          <w:color w:val="000000" w:themeColor="text1"/>
          <w:sz w:val="24"/>
          <w:szCs w:val="24"/>
        </w:rPr>
        <w:t xml:space="preserve">, </w:t>
      </w:r>
      <w:r w:rsidR="00F432ED" w:rsidRPr="00957299">
        <w:rPr>
          <w:rFonts w:ascii="Times New Roman" w:hAnsi="Times New Roman" w:cs="Times New Roman"/>
          <w:color w:val="000000" w:themeColor="text1"/>
          <w:sz w:val="24"/>
          <w:szCs w:val="24"/>
        </w:rPr>
        <w:t>20</w:t>
      </w:r>
      <w:r w:rsidR="00732C28">
        <w:rPr>
          <w:rFonts w:ascii="Times New Roman" w:hAnsi="Times New Roman" w:cs="Times New Roman"/>
          <w:color w:val="000000" w:themeColor="text1"/>
          <w:sz w:val="24"/>
          <w:szCs w:val="24"/>
        </w:rPr>
        <w:t>24</w:t>
      </w:r>
      <w:r w:rsidR="00F432ED" w:rsidRPr="00957299">
        <w:rPr>
          <w:rFonts w:ascii="Times New Roman" w:hAnsi="Times New Roman" w:cs="Times New Roman"/>
          <w:color w:val="000000" w:themeColor="text1"/>
          <w:sz w:val="24"/>
          <w:szCs w:val="24"/>
        </w:rPr>
        <w:t xml:space="preserve"> yılında </w:t>
      </w:r>
      <w:r w:rsidR="003324F7">
        <w:rPr>
          <w:rFonts w:ascii="Times New Roman" w:hAnsi="Times New Roman" w:cs="Times New Roman"/>
          <w:color w:val="000000" w:themeColor="text1"/>
          <w:sz w:val="24"/>
          <w:szCs w:val="24"/>
        </w:rPr>
        <w:t>81,4</w:t>
      </w:r>
      <w:r w:rsidR="0031505D" w:rsidRPr="00957299">
        <w:rPr>
          <w:rFonts w:ascii="Times New Roman" w:hAnsi="Times New Roman" w:cs="Times New Roman"/>
          <w:color w:val="000000" w:themeColor="text1"/>
          <w:sz w:val="24"/>
          <w:szCs w:val="24"/>
        </w:rPr>
        <w:t xml:space="preserve"> </w:t>
      </w:r>
      <w:r w:rsidR="00757E52">
        <w:rPr>
          <w:rFonts w:ascii="Times New Roman" w:hAnsi="Times New Roman" w:cs="Times New Roman"/>
          <w:color w:val="000000" w:themeColor="text1"/>
          <w:sz w:val="24"/>
          <w:szCs w:val="24"/>
        </w:rPr>
        <w:t xml:space="preserve">milyon dolar olmuştur. </w:t>
      </w:r>
      <w:r w:rsidR="00002AE9" w:rsidRPr="00957299">
        <w:rPr>
          <w:rFonts w:ascii="Times New Roman" w:hAnsi="Times New Roman" w:cs="Times New Roman"/>
          <w:color w:val="000000" w:themeColor="text1"/>
          <w:sz w:val="24"/>
          <w:szCs w:val="24"/>
        </w:rPr>
        <w:t xml:space="preserve">Ortalama proje bedelinde </w:t>
      </w:r>
      <w:r w:rsidR="00757E52">
        <w:rPr>
          <w:rFonts w:ascii="Times New Roman" w:hAnsi="Times New Roman" w:cs="Times New Roman"/>
          <w:color w:val="000000" w:themeColor="text1"/>
          <w:sz w:val="24"/>
          <w:szCs w:val="24"/>
        </w:rPr>
        <w:t xml:space="preserve">görülen </w:t>
      </w:r>
      <w:r w:rsidR="00002AE9" w:rsidRPr="00957299">
        <w:rPr>
          <w:rFonts w:ascii="Times New Roman" w:hAnsi="Times New Roman" w:cs="Times New Roman"/>
          <w:color w:val="000000" w:themeColor="text1"/>
          <w:sz w:val="24"/>
          <w:szCs w:val="24"/>
        </w:rPr>
        <w:t xml:space="preserve">son </w:t>
      </w:r>
      <w:r w:rsidR="00630EBF">
        <w:rPr>
          <w:rFonts w:ascii="Times New Roman" w:hAnsi="Times New Roman" w:cs="Times New Roman"/>
          <w:color w:val="000000" w:themeColor="text1"/>
          <w:sz w:val="24"/>
          <w:szCs w:val="24"/>
        </w:rPr>
        <w:t>20</w:t>
      </w:r>
      <w:r w:rsidR="00002AE9" w:rsidRPr="00957299">
        <w:rPr>
          <w:rFonts w:ascii="Times New Roman" w:hAnsi="Times New Roman" w:cs="Times New Roman"/>
          <w:color w:val="000000" w:themeColor="text1"/>
          <w:sz w:val="24"/>
          <w:szCs w:val="24"/>
        </w:rPr>
        <w:t xml:space="preserve"> yıllık dönemde</w:t>
      </w:r>
      <w:r w:rsidR="00757E52">
        <w:rPr>
          <w:rFonts w:ascii="Times New Roman" w:hAnsi="Times New Roman" w:cs="Times New Roman"/>
          <w:color w:val="000000" w:themeColor="text1"/>
          <w:sz w:val="24"/>
          <w:szCs w:val="24"/>
        </w:rPr>
        <w:t>ki</w:t>
      </w:r>
      <w:r w:rsidR="00002AE9" w:rsidRPr="00957299">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artış, müteahhitlerimizin havalimanı, metro, endüstriyel tesisler, doğalgaz-petrol rafinerileri, otoyol ve enerji santralleri gibi büyük ölçekli ve katma değeri daha yüksek projeleri üstlenmelerinden kaynaklanmaktadır.</w:t>
      </w:r>
      <w:r w:rsidR="00002AE9" w:rsidRPr="00957299">
        <w:rPr>
          <w:rFonts w:ascii="Times New Roman" w:hAnsi="Times New Roman" w:cs="Times New Roman"/>
          <w:color w:val="000000" w:themeColor="text1"/>
          <w:sz w:val="24"/>
          <w:szCs w:val="24"/>
        </w:rPr>
        <w:t xml:space="preserve"> Bununla birlikte, </w:t>
      </w:r>
      <w:r w:rsidR="00757E52">
        <w:rPr>
          <w:rFonts w:ascii="Times New Roman" w:hAnsi="Times New Roman" w:cs="Times New Roman"/>
          <w:color w:val="000000" w:themeColor="text1"/>
          <w:sz w:val="24"/>
          <w:szCs w:val="24"/>
        </w:rPr>
        <w:t xml:space="preserve">ortalama proje bedelinin düşük seyrettiği yıllarda </w:t>
      </w:r>
      <w:r w:rsidR="00C66D58">
        <w:rPr>
          <w:rFonts w:ascii="Times New Roman" w:hAnsi="Times New Roman" w:cs="Times New Roman"/>
          <w:color w:val="000000" w:themeColor="text1"/>
          <w:sz w:val="24"/>
          <w:szCs w:val="24"/>
        </w:rPr>
        <w:t xml:space="preserve">düşüşün nedeni, </w:t>
      </w:r>
      <w:r w:rsidR="00002AE9" w:rsidRPr="00957299">
        <w:rPr>
          <w:rFonts w:ascii="Times New Roman" w:hAnsi="Times New Roman" w:cs="Times New Roman"/>
          <w:color w:val="000000" w:themeColor="text1"/>
          <w:sz w:val="24"/>
          <w:szCs w:val="24"/>
        </w:rPr>
        <w:t>firmalarımızın kriz döneminde küçük projeler dahil her türlü projeyi gerçekleştirmeye çal</w:t>
      </w:r>
      <w:r w:rsidR="00E64F62">
        <w:rPr>
          <w:rFonts w:ascii="Times New Roman" w:hAnsi="Times New Roman" w:cs="Times New Roman"/>
          <w:color w:val="000000" w:themeColor="text1"/>
          <w:sz w:val="24"/>
          <w:szCs w:val="24"/>
        </w:rPr>
        <w:t>ışmalarından kaynaklanmaktadır.</w:t>
      </w:r>
    </w:p>
    <w:p w14:paraId="035F42E2" w14:textId="77777777" w:rsidR="00F603EA" w:rsidRPr="00957299" w:rsidRDefault="00F603EA" w:rsidP="00BB5CFD">
      <w:pPr>
        <w:spacing w:after="0" w:line="240" w:lineRule="auto"/>
        <w:jc w:val="both"/>
        <w:rPr>
          <w:rFonts w:ascii="Times New Roman" w:hAnsi="Times New Roman" w:cs="Times New Roman"/>
          <w:color w:val="000000" w:themeColor="text1"/>
          <w:sz w:val="24"/>
          <w:szCs w:val="24"/>
        </w:rPr>
      </w:pPr>
    </w:p>
    <w:p w14:paraId="78959790" w14:textId="77777777" w:rsidR="00935926" w:rsidRDefault="00935926" w:rsidP="00BB5CFD">
      <w:pPr>
        <w:spacing w:after="0" w:line="240" w:lineRule="auto"/>
        <w:jc w:val="both"/>
        <w:rPr>
          <w:rFonts w:ascii="Times New Roman" w:hAnsi="Times New Roman" w:cs="Times New Roman"/>
          <w:sz w:val="24"/>
          <w:szCs w:val="24"/>
        </w:rPr>
      </w:pPr>
      <w:r w:rsidRPr="007A1346">
        <w:rPr>
          <w:rFonts w:ascii="Times New Roman" w:hAnsi="Times New Roman" w:cs="Times New Roman"/>
          <w:sz w:val="24"/>
          <w:szCs w:val="24"/>
        </w:rPr>
        <w:lastRenderedPageBreak/>
        <w:t>ENR Dergisi</w:t>
      </w:r>
      <w:r w:rsidR="00D40677">
        <w:rPr>
          <w:rFonts w:ascii="Times New Roman" w:hAnsi="Times New Roman" w:cs="Times New Roman"/>
          <w:sz w:val="24"/>
          <w:szCs w:val="24"/>
        </w:rPr>
        <w:t>’</w:t>
      </w:r>
      <w:r w:rsidRPr="007A1346">
        <w:rPr>
          <w:rFonts w:ascii="Times New Roman" w:hAnsi="Times New Roman" w:cs="Times New Roman"/>
          <w:sz w:val="24"/>
          <w:szCs w:val="24"/>
        </w:rPr>
        <w:t xml:space="preserve">nin, </w:t>
      </w:r>
      <w:r w:rsidR="00D40677">
        <w:rPr>
          <w:rFonts w:ascii="Times New Roman" w:hAnsi="Times New Roman" w:cs="Times New Roman"/>
          <w:sz w:val="24"/>
          <w:szCs w:val="24"/>
        </w:rPr>
        <w:t xml:space="preserve">geçtiğimiz </w:t>
      </w:r>
      <w:r w:rsidRPr="007A1346">
        <w:rPr>
          <w:rFonts w:ascii="Times New Roman" w:hAnsi="Times New Roman" w:cs="Times New Roman"/>
          <w:sz w:val="24"/>
          <w:szCs w:val="24"/>
        </w:rPr>
        <w:t>bir yıl içerisinde üstlenilen uluslararası projelerin toplam bedeli üzerinden her yıl belirlediği dünyanın en büyük 2</w:t>
      </w:r>
      <w:r w:rsidR="00F36D81" w:rsidRPr="007A1346">
        <w:rPr>
          <w:rFonts w:ascii="Times New Roman" w:hAnsi="Times New Roman" w:cs="Times New Roman"/>
          <w:sz w:val="24"/>
          <w:szCs w:val="24"/>
        </w:rPr>
        <w:t>50</w:t>
      </w:r>
      <w:r w:rsidRPr="007A1346">
        <w:rPr>
          <w:rFonts w:ascii="Times New Roman" w:hAnsi="Times New Roman" w:cs="Times New Roman"/>
          <w:sz w:val="24"/>
          <w:szCs w:val="24"/>
        </w:rPr>
        <w:t xml:space="preserve"> müteahhitlik firmasını gösteren liste</w:t>
      </w:r>
      <w:r w:rsidR="00A23529">
        <w:rPr>
          <w:rFonts w:ascii="Times New Roman" w:hAnsi="Times New Roman" w:cs="Times New Roman"/>
          <w:sz w:val="24"/>
          <w:szCs w:val="24"/>
        </w:rPr>
        <w:t>de Türki</w:t>
      </w:r>
      <w:r w:rsidR="00D40677">
        <w:rPr>
          <w:rFonts w:ascii="Times New Roman" w:hAnsi="Times New Roman" w:cs="Times New Roman"/>
          <w:sz w:val="24"/>
          <w:szCs w:val="24"/>
        </w:rPr>
        <w:t xml:space="preserve">ye, </w:t>
      </w:r>
      <w:r w:rsidR="00A23529">
        <w:rPr>
          <w:rFonts w:ascii="Times New Roman" w:hAnsi="Times New Roman" w:cs="Times New Roman"/>
          <w:sz w:val="24"/>
          <w:szCs w:val="24"/>
        </w:rPr>
        <w:t>2003 yılında sadece 8</w:t>
      </w:r>
      <w:r w:rsidRPr="007A1346">
        <w:rPr>
          <w:rFonts w:ascii="Times New Roman" w:hAnsi="Times New Roman" w:cs="Times New Roman"/>
          <w:sz w:val="24"/>
          <w:szCs w:val="24"/>
        </w:rPr>
        <w:t xml:space="preserve"> müteahhit</w:t>
      </w:r>
      <w:r w:rsidR="003076DB">
        <w:rPr>
          <w:rFonts w:ascii="Times New Roman" w:hAnsi="Times New Roman" w:cs="Times New Roman"/>
          <w:sz w:val="24"/>
          <w:szCs w:val="24"/>
        </w:rPr>
        <w:t>l</w:t>
      </w:r>
      <w:r w:rsidR="008C254A">
        <w:rPr>
          <w:rFonts w:ascii="Times New Roman" w:hAnsi="Times New Roman" w:cs="Times New Roman"/>
          <w:sz w:val="24"/>
          <w:szCs w:val="24"/>
        </w:rPr>
        <w:t>ik firması ile yer alırken, 202</w:t>
      </w:r>
      <w:r w:rsidR="006673F5">
        <w:rPr>
          <w:rFonts w:ascii="Times New Roman" w:hAnsi="Times New Roman" w:cs="Times New Roman"/>
          <w:sz w:val="24"/>
          <w:szCs w:val="24"/>
        </w:rPr>
        <w:t>4</w:t>
      </w:r>
      <w:r w:rsidRPr="007A1346">
        <w:rPr>
          <w:rFonts w:ascii="Times New Roman" w:hAnsi="Times New Roman" w:cs="Times New Roman"/>
          <w:sz w:val="24"/>
          <w:szCs w:val="24"/>
        </w:rPr>
        <w:t xml:space="preserve"> yılında 4</w:t>
      </w:r>
      <w:r w:rsidR="006673F5">
        <w:rPr>
          <w:rFonts w:ascii="Times New Roman" w:hAnsi="Times New Roman" w:cs="Times New Roman"/>
          <w:sz w:val="24"/>
          <w:szCs w:val="24"/>
        </w:rPr>
        <w:t>3</w:t>
      </w:r>
      <w:r w:rsidR="00D40677">
        <w:rPr>
          <w:rFonts w:ascii="Times New Roman" w:hAnsi="Times New Roman" w:cs="Times New Roman"/>
          <w:sz w:val="24"/>
          <w:szCs w:val="24"/>
        </w:rPr>
        <w:t xml:space="preserve"> firması </w:t>
      </w:r>
      <w:r w:rsidRPr="007A1346">
        <w:rPr>
          <w:rFonts w:ascii="Times New Roman" w:hAnsi="Times New Roman" w:cs="Times New Roman"/>
          <w:sz w:val="24"/>
          <w:szCs w:val="24"/>
        </w:rPr>
        <w:t>listeye girmeyi başarmıştır.</w:t>
      </w:r>
      <w:r w:rsidR="00D40677">
        <w:rPr>
          <w:rFonts w:ascii="Times New Roman" w:hAnsi="Times New Roman" w:cs="Times New Roman"/>
          <w:sz w:val="24"/>
          <w:szCs w:val="24"/>
        </w:rPr>
        <w:t xml:space="preserve"> 2017-2018 yıllarındaki 46 firma bu konudaki ülkemiz rekorudur. </w:t>
      </w:r>
    </w:p>
    <w:p w14:paraId="42151C7C" w14:textId="77777777" w:rsidR="005B1B16" w:rsidRDefault="005B1B16" w:rsidP="00BB5CFD">
      <w:pPr>
        <w:spacing w:after="0" w:line="240" w:lineRule="auto"/>
        <w:ind w:right="-2"/>
        <w:jc w:val="both"/>
        <w:rPr>
          <w:rFonts w:ascii="Times New Roman" w:hAnsi="Times New Roman" w:cs="Times New Roman"/>
          <w:sz w:val="24"/>
          <w:szCs w:val="24"/>
        </w:rPr>
      </w:pPr>
    </w:p>
    <w:p w14:paraId="5EB996BB" w14:textId="002C646B" w:rsidR="001C1548" w:rsidRDefault="00D40677" w:rsidP="00BB5CFD">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Derginin 20</w:t>
      </w:r>
      <w:r w:rsidR="003076DB">
        <w:rPr>
          <w:rFonts w:ascii="Times New Roman" w:hAnsi="Times New Roman" w:cs="Times New Roman"/>
          <w:sz w:val="24"/>
          <w:szCs w:val="24"/>
        </w:rPr>
        <w:t>2</w:t>
      </w:r>
      <w:r w:rsidR="006673F5">
        <w:rPr>
          <w:rFonts w:ascii="Times New Roman" w:hAnsi="Times New Roman" w:cs="Times New Roman"/>
          <w:sz w:val="24"/>
          <w:szCs w:val="24"/>
        </w:rPr>
        <w:t>4</w:t>
      </w:r>
      <w:r>
        <w:rPr>
          <w:rFonts w:ascii="Times New Roman" w:hAnsi="Times New Roman" w:cs="Times New Roman"/>
          <w:sz w:val="24"/>
          <w:szCs w:val="24"/>
        </w:rPr>
        <w:t xml:space="preserve"> yılı sayısında yer alan b</w:t>
      </w:r>
      <w:r w:rsidR="001C1548" w:rsidRPr="007A1346">
        <w:rPr>
          <w:rFonts w:ascii="Times New Roman" w:hAnsi="Times New Roman" w:cs="Times New Roman"/>
          <w:sz w:val="24"/>
          <w:szCs w:val="24"/>
        </w:rPr>
        <w:t>u firmalardan</w:t>
      </w:r>
      <w:r w:rsidR="008B2F98">
        <w:rPr>
          <w:rFonts w:ascii="Times New Roman" w:hAnsi="Times New Roman" w:cs="Times New Roman"/>
          <w:sz w:val="24"/>
          <w:szCs w:val="24"/>
        </w:rPr>
        <w:t xml:space="preserve"> </w:t>
      </w:r>
      <w:r w:rsidR="0079258D">
        <w:rPr>
          <w:rFonts w:ascii="Times New Roman" w:hAnsi="Times New Roman" w:cs="Times New Roman"/>
          <w:sz w:val="24"/>
          <w:szCs w:val="24"/>
        </w:rPr>
        <w:t>6’sı</w:t>
      </w:r>
      <w:r w:rsidR="008C254A">
        <w:rPr>
          <w:rFonts w:ascii="Times New Roman" w:hAnsi="Times New Roman" w:cs="Times New Roman"/>
          <w:sz w:val="24"/>
          <w:szCs w:val="24"/>
        </w:rPr>
        <w:t xml:space="preserve"> söz</w:t>
      </w:r>
      <w:r w:rsidR="001C1548" w:rsidRPr="007A1346">
        <w:rPr>
          <w:rFonts w:ascii="Times New Roman" w:hAnsi="Times New Roman" w:cs="Times New Roman"/>
          <w:sz w:val="24"/>
          <w:szCs w:val="24"/>
        </w:rPr>
        <w:t>konusu listede ilk 100 firma arasında yer al</w:t>
      </w:r>
      <w:r w:rsidR="00483C50" w:rsidRPr="007A1346">
        <w:rPr>
          <w:rFonts w:ascii="Times New Roman" w:hAnsi="Times New Roman" w:cs="Times New Roman"/>
          <w:sz w:val="24"/>
          <w:szCs w:val="24"/>
        </w:rPr>
        <w:t>ırken,</w:t>
      </w:r>
      <w:r w:rsidR="00E86143" w:rsidRPr="007A1346">
        <w:rPr>
          <w:rFonts w:ascii="Times New Roman" w:hAnsi="Times New Roman" w:cs="Times New Roman"/>
          <w:sz w:val="24"/>
          <w:szCs w:val="24"/>
        </w:rPr>
        <w:t xml:space="preserve"> </w:t>
      </w:r>
      <w:r w:rsidR="00FC4192">
        <w:rPr>
          <w:rFonts w:ascii="Times New Roman" w:hAnsi="Times New Roman" w:cs="Times New Roman"/>
          <w:sz w:val="24"/>
          <w:szCs w:val="24"/>
        </w:rPr>
        <w:t>1</w:t>
      </w:r>
      <w:r w:rsidR="00E86143" w:rsidRPr="007A1346">
        <w:rPr>
          <w:rFonts w:ascii="Times New Roman" w:hAnsi="Times New Roman" w:cs="Times New Roman"/>
          <w:sz w:val="24"/>
          <w:szCs w:val="24"/>
        </w:rPr>
        <w:t xml:space="preserve"> Türk firması </w:t>
      </w:r>
      <w:r w:rsidR="00450361" w:rsidRPr="007A1346">
        <w:rPr>
          <w:rFonts w:ascii="Times New Roman" w:hAnsi="Times New Roman" w:cs="Times New Roman"/>
          <w:sz w:val="24"/>
          <w:szCs w:val="24"/>
        </w:rPr>
        <w:t>ise</w:t>
      </w:r>
      <w:r w:rsidR="00EC38A9">
        <w:rPr>
          <w:rFonts w:ascii="Times New Roman" w:hAnsi="Times New Roman" w:cs="Times New Roman"/>
          <w:sz w:val="24"/>
          <w:szCs w:val="24"/>
        </w:rPr>
        <w:t xml:space="preserve"> </w:t>
      </w:r>
      <w:r w:rsidR="008C254A">
        <w:rPr>
          <w:rFonts w:ascii="Times New Roman" w:hAnsi="Times New Roman" w:cs="Times New Roman"/>
          <w:sz w:val="24"/>
          <w:szCs w:val="24"/>
        </w:rPr>
        <w:t xml:space="preserve">ilk </w:t>
      </w:r>
      <w:r w:rsidR="00DE5444">
        <w:rPr>
          <w:rFonts w:ascii="Times New Roman" w:hAnsi="Times New Roman" w:cs="Times New Roman"/>
          <w:sz w:val="24"/>
          <w:szCs w:val="24"/>
        </w:rPr>
        <w:t>5</w:t>
      </w:r>
      <w:r w:rsidR="008C254A">
        <w:rPr>
          <w:rFonts w:ascii="Times New Roman" w:hAnsi="Times New Roman" w:cs="Times New Roman"/>
          <w:sz w:val="24"/>
          <w:szCs w:val="24"/>
        </w:rPr>
        <w:t>0</w:t>
      </w:r>
      <w:r w:rsidR="00483C50" w:rsidRPr="007A1346">
        <w:rPr>
          <w:rFonts w:ascii="Times New Roman" w:hAnsi="Times New Roman" w:cs="Times New Roman"/>
          <w:sz w:val="24"/>
          <w:szCs w:val="24"/>
        </w:rPr>
        <w:t xml:space="preserve"> firma </w:t>
      </w:r>
      <w:r w:rsidR="00E86143" w:rsidRPr="007A1346">
        <w:rPr>
          <w:rFonts w:ascii="Times New Roman" w:hAnsi="Times New Roman" w:cs="Times New Roman"/>
          <w:sz w:val="24"/>
          <w:szCs w:val="24"/>
        </w:rPr>
        <w:t>arasında yer bulmuştur</w:t>
      </w:r>
      <w:r w:rsidR="001C1548" w:rsidRPr="007A1346">
        <w:rPr>
          <w:rFonts w:ascii="Times New Roman" w:hAnsi="Times New Roman" w:cs="Times New Roman"/>
          <w:sz w:val="24"/>
          <w:szCs w:val="24"/>
        </w:rPr>
        <w:t xml:space="preserve">. Türkiye listede firma sayısı itibariyle </w:t>
      </w:r>
      <w:r w:rsidR="001C1548" w:rsidRPr="007A1346">
        <w:rPr>
          <w:rFonts w:ascii="Times New Roman" w:hAnsi="Times New Roman" w:cs="Times New Roman"/>
          <w:b/>
          <w:sz w:val="24"/>
          <w:szCs w:val="24"/>
        </w:rPr>
        <w:t>Çin</w:t>
      </w:r>
      <w:r w:rsidR="00DE5444">
        <w:rPr>
          <w:rFonts w:ascii="Times New Roman" w:hAnsi="Times New Roman" w:cs="Times New Roman"/>
          <w:b/>
          <w:sz w:val="24"/>
          <w:szCs w:val="24"/>
        </w:rPr>
        <w:t>’den</w:t>
      </w:r>
      <w:r w:rsidR="005102EE">
        <w:rPr>
          <w:rFonts w:ascii="Times New Roman" w:hAnsi="Times New Roman" w:cs="Times New Roman"/>
          <w:b/>
          <w:sz w:val="24"/>
          <w:szCs w:val="24"/>
        </w:rPr>
        <w:t xml:space="preserve"> sonra </w:t>
      </w:r>
      <w:r w:rsidR="00DE5444">
        <w:rPr>
          <w:rFonts w:ascii="Times New Roman" w:hAnsi="Times New Roman" w:cs="Times New Roman"/>
          <w:b/>
          <w:sz w:val="24"/>
          <w:szCs w:val="24"/>
        </w:rPr>
        <w:t>2</w:t>
      </w:r>
      <w:r w:rsidR="001C1548" w:rsidRPr="007A1346">
        <w:rPr>
          <w:rFonts w:ascii="Times New Roman" w:hAnsi="Times New Roman" w:cs="Times New Roman"/>
          <w:b/>
          <w:sz w:val="24"/>
          <w:szCs w:val="24"/>
        </w:rPr>
        <w:t>. sırada</w:t>
      </w:r>
      <w:r w:rsidR="00DC4FCB" w:rsidRPr="007A1346">
        <w:rPr>
          <w:rFonts w:ascii="Times New Roman" w:hAnsi="Times New Roman" w:cs="Times New Roman"/>
          <w:sz w:val="24"/>
          <w:szCs w:val="24"/>
        </w:rPr>
        <w:t xml:space="preserve"> </w:t>
      </w:r>
      <w:r w:rsidR="006F0CB6">
        <w:rPr>
          <w:rFonts w:ascii="Times New Roman" w:hAnsi="Times New Roman" w:cs="Times New Roman"/>
          <w:sz w:val="24"/>
          <w:szCs w:val="24"/>
        </w:rPr>
        <w:t xml:space="preserve">yer almaktadır. Bu durum yurt </w:t>
      </w:r>
      <w:r w:rsidR="001C1548" w:rsidRPr="007A1346">
        <w:rPr>
          <w:rFonts w:ascii="Times New Roman" w:hAnsi="Times New Roman" w:cs="Times New Roman"/>
          <w:sz w:val="24"/>
          <w:szCs w:val="24"/>
        </w:rPr>
        <w:t>dışında faaliyet gösteren müteahhitlik firmalarımızın süratle büyüdüklerinin bir gösterg</w:t>
      </w:r>
      <w:r w:rsidR="00483C50" w:rsidRPr="007A1346">
        <w:rPr>
          <w:rFonts w:ascii="Times New Roman" w:hAnsi="Times New Roman" w:cs="Times New Roman"/>
          <w:sz w:val="24"/>
          <w:szCs w:val="24"/>
        </w:rPr>
        <w:t>esidir.</w:t>
      </w:r>
    </w:p>
    <w:p w14:paraId="5CDFE60E" w14:textId="77777777" w:rsidR="00F603EA" w:rsidRDefault="00F603EA" w:rsidP="00BB5CFD">
      <w:pPr>
        <w:spacing w:after="0" w:line="240" w:lineRule="auto"/>
        <w:ind w:right="-2"/>
        <w:jc w:val="both"/>
        <w:rPr>
          <w:rFonts w:ascii="Times New Roman" w:hAnsi="Times New Roman" w:cs="Times New Roman"/>
          <w:sz w:val="24"/>
          <w:szCs w:val="24"/>
        </w:rPr>
      </w:pPr>
    </w:p>
    <w:tbl>
      <w:tblPr>
        <w:tblStyle w:val="TabloKlavuzu"/>
        <w:tblW w:w="9169" w:type="dxa"/>
        <w:jc w:val="center"/>
        <w:tblLook w:val="04A0" w:firstRow="1" w:lastRow="0" w:firstColumn="1" w:lastColumn="0" w:noHBand="0" w:noVBand="1"/>
      </w:tblPr>
      <w:tblGrid>
        <w:gridCol w:w="836"/>
        <w:gridCol w:w="641"/>
        <w:gridCol w:w="641"/>
        <w:gridCol w:w="641"/>
        <w:gridCol w:w="641"/>
        <w:gridCol w:w="641"/>
        <w:gridCol w:w="641"/>
        <w:gridCol w:w="641"/>
        <w:gridCol w:w="641"/>
        <w:gridCol w:w="641"/>
        <w:gridCol w:w="641"/>
        <w:gridCol w:w="641"/>
        <w:gridCol w:w="641"/>
        <w:gridCol w:w="641"/>
      </w:tblGrid>
      <w:tr w:rsidR="005D0B91" w:rsidRPr="005B1B16" w14:paraId="7BDE81DA" w14:textId="77777777" w:rsidTr="005B1B16">
        <w:trPr>
          <w:trHeight w:val="215"/>
          <w:jc w:val="center"/>
        </w:trPr>
        <w:tc>
          <w:tcPr>
            <w:tcW w:w="9167" w:type="dxa"/>
            <w:gridSpan w:val="14"/>
            <w:shd w:val="clear" w:color="auto" w:fill="BDD6EE" w:themeFill="accent1" w:themeFillTint="66"/>
            <w:noWrap/>
            <w:hideMark/>
          </w:tcPr>
          <w:p w14:paraId="14898C78" w14:textId="77777777" w:rsidR="005D0B91" w:rsidRPr="005B1B16" w:rsidRDefault="005D0B91" w:rsidP="00BB5CFD">
            <w:pPr>
              <w:ind w:right="-2"/>
              <w:jc w:val="center"/>
              <w:rPr>
                <w:rFonts w:ascii="Times New Roman" w:hAnsi="Times New Roman" w:cs="Times New Roman"/>
                <w:b/>
              </w:rPr>
            </w:pPr>
            <w:r w:rsidRPr="005B1B16">
              <w:rPr>
                <w:rFonts w:ascii="Times New Roman" w:hAnsi="Times New Roman" w:cs="Times New Roman"/>
                <w:b/>
              </w:rPr>
              <w:t>En Büyük 250 Müteahhitlik Firmasına İlişkin Liste</w:t>
            </w:r>
          </w:p>
        </w:tc>
      </w:tr>
      <w:tr w:rsidR="005B1B16" w:rsidRPr="005B1B16" w14:paraId="56A684A3" w14:textId="77777777" w:rsidTr="005B1B16">
        <w:trPr>
          <w:trHeight w:val="236"/>
          <w:jc w:val="center"/>
        </w:trPr>
        <w:tc>
          <w:tcPr>
            <w:tcW w:w="836" w:type="dxa"/>
            <w:vMerge w:val="restart"/>
            <w:shd w:val="clear" w:color="auto" w:fill="D0CECE" w:themeFill="background2" w:themeFillShade="E6"/>
            <w:hideMark/>
          </w:tcPr>
          <w:p w14:paraId="2228731F" w14:textId="77777777" w:rsidR="005D0B91" w:rsidRPr="005B1B16" w:rsidRDefault="005D0B91" w:rsidP="00BB5CFD">
            <w:pPr>
              <w:ind w:right="-2"/>
              <w:jc w:val="both"/>
              <w:rPr>
                <w:rFonts w:ascii="Times New Roman" w:hAnsi="Times New Roman" w:cs="Times New Roman"/>
                <w:b/>
                <w:bCs/>
              </w:rPr>
            </w:pPr>
            <w:r w:rsidRPr="005B1B16">
              <w:rPr>
                <w:rFonts w:ascii="Times New Roman" w:hAnsi="Times New Roman" w:cs="Times New Roman"/>
                <w:b/>
                <w:bCs/>
              </w:rPr>
              <w:t>Tük Firma Sayısı</w:t>
            </w:r>
          </w:p>
        </w:tc>
        <w:tc>
          <w:tcPr>
            <w:tcW w:w="641" w:type="dxa"/>
            <w:shd w:val="clear" w:color="auto" w:fill="D0CECE" w:themeFill="background2" w:themeFillShade="E6"/>
            <w:noWrap/>
            <w:hideMark/>
          </w:tcPr>
          <w:p w14:paraId="04D52789"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2012</w:t>
            </w:r>
          </w:p>
        </w:tc>
        <w:tc>
          <w:tcPr>
            <w:tcW w:w="641" w:type="dxa"/>
            <w:shd w:val="clear" w:color="auto" w:fill="D0CECE" w:themeFill="background2" w:themeFillShade="E6"/>
            <w:noWrap/>
            <w:hideMark/>
          </w:tcPr>
          <w:p w14:paraId="005A59E3"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2013</w:t>
            </w:r>
          </w:p>
        </w:tc>
        <w:tc>
          <w:tcPr>
            <w:tcW w:w="641" w:type="dxa"/>
            <w:shd w:val="clear" w:color="auto" w:fill="D0CECE" w:themeFill="background2" w:themeFillShade="E6"/>
            <w:noWrap/>
            <w:hideMark/>
          </w:tcPr>
          <w:p w14:paraId="253705E6"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2014</w:t>
            </w:r>
          </w:p>
        </w:tc>
        <w:tc>
          <w:tcPr>
            <w:tcW w:w="641" w:type="dxa"/>
            <w:shd w:val="clear" w:color="auto" w:fill="D0CECE" w:themeFill="background2" w:themeFillShade="E6"/>
            <w:noWrap/>
            <w:hideMark/>
          </w:tcPr>
          <w:p w14:paraId="4AEA1761"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2015</w:t>
            </w:r>
          </w:p>
        </w:tc>
        <w:tc>
          <w:tcPr>
            <w:tcW w:w="641" w:type="dxa"/>
            <w:shd w:val="clear" w:color="auto" w:fill="D0CECE" w:themeFill="background2" w:themeFillShade="E6"/>
            <w:noWrap/>
            <w:hideMark/>
          </w:tcPr>
          <w:p w14:paraId="118FCFC3"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2016</w:t>
            </w:r>
          </w:p>
        </w:tc>
        <w:tc>
          <w:tcPr>
            <w:tcW w:w="641" w:type="dxa"/>
            <w:shd w:val="clear" w:color="auto" w:fill="D0CECE" w:themeFill="background2" w:themeFillShade="E6"/>
            <w:noWrap/>
            <w:hideMark/>
          </w:tcPr>
          <w:p w14:paraId="5522386A"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2017</w:t>
            </w:r>
          </w:p>
        </w:tc>
        <w:tc>
          <w:tcPr>
            <w:tcW w:w="641" w:type="dxa"/>
            <w:shd w:val="clear" w:color="auto" w:fill="D0CECE" w:themeFill="background2" w:themeFillShade="E6"/>
            <w:noWrap/>
            <w:hideMark/>
          </w:tcPr>
          <w:p w14:paraId="1CDB2CC7"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2018</w:t>
            </w:r>
          </w:p>
        </w:tc>
        <w:tc>
          <w:tcPr>
            <w:tcW w:w="641" w:type="dxa"/>
            <w:shd w:val="clear" w:color="auto" w:fill="D0CECE" w:themeFill="background2" w:themeFillShade="E6"/>
            <w:noWrap/>
            <w:hideMark/>
          </w:tcPr>
          <w:p w14:paraId="1F5181D9"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2019</w:t>
            </w:r>
          </w:p>
        </w:tc>
        <w:tc>
          <w:tcPr>
            <w:tcW w:w="641" w:type="dxa"/>
            <w:shd w:val="clear" w:color="auto" w:fill="D0CECE" w:themeFill="background2" w:themeFillShade="E6"/>
            <w:noWrap/>
            <w:hideMark/>
          </w:tcPr>
          <w:p w14:paraId="14EF141D"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2020</w:t>
            </w:r>
          </w:p>
        </w:tc>
        <w:tc>
          <w:tcPr>
            <w:tcW w:w="641" w:type="dxa"/>
            <w:shd w:val="clear" w:color="auto" w:fill="D0CECE" w:themeFill="background2" w:themeFillShade="E6"/>
            <w:noWrap/>
            <w:hideMark/>
          </w:tcPr>
          <w:p w14:paraId="32E34B71"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2021</w:t>
            </w:r>
          </w:p>
        </w:tc>
        <w:tc>
          <w:tcPr>
            <w:tcW w:w="641" w:type="dxa"/>
            <w:shd w:val="clear" w:color="auto" w:fill="D0CECE" w:themeFill="background2" w:themeFillShade="E6"/>
            <w:noWrap/>
            <w:hideMark/>
          </w:tcPr>
          <w:p w14:paraId="54D1FCA6"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2022</w:t>
            </w:r>
          </w:p>
        </w:tc>
        <w:tc>
          <w:tcPr>
            <w:tcW w:w="641" w:type="dxa"/>
            <w:shd w:val="clear" w:color="auto" w:fill="D0CECE" w:themeFill="background2" w:themeFillShade="E6"/>
            <w:noWrap/>
            <w:hideMark/>
          </w:tcPr>
          <w:p w14:paraId="16D65AE7"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2023</w:t>
            </w:r>
          </w:p>
        </w:tc>
        <w:tc>
          <w:tcPr>
            <w:tcW w:w="641" w:type="dxa"/>
            <w:shd w:val="clear" w:color="auto" w:fill="D0CECE" w:themeFill="background2" w:themeFillShade="E6"/>
            <w:noWrap/>
            <w:hideMark/>
          </w:tcPr>
          <w:p w14:paraId="386A074A"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2024</w:t>
            </w:r>
          </w:p>
        </w:tc>
      </w:tr>
      <w:tr w:rsidR="005B1B16" w:rsidRPr="005B1B16" w14:paraId="097BBE51" w14:textId="77777777" w:rsidTr="005B1B16">
        <w:trPr>
          <w:cantSplit/>
          <w:trHeight w:val="463"/>
          <w:jc w:val="center"/>
        </w:trPr>
        <w:tc>
          <w:tcPr>
            <w:tcW w:w="836" w:type="dxa"/>
            <w:vMerge/>
            <w:shd w:val="clear" w:color="auto" w:fill="D0CECE" w:themeFill="background2" w:themeFillShade="E6"/>
            <w:textDirection w:val="btLr"/>
          </w:tcPr>
          <w:p w14:paraId="4D3B4A7D" w14:textId="77777777" w:rsidR="005D0B91" w:rsidRPr="005B1B16" w:rsidRDefault="005D0B91" w:rsidP="00BB5CFD">
            <w:pPr>
              <w:ind w:left="113" w:right="-2"/>
              <w:jc w:val="both"/>
              <w:rPr>
                <w:rFonts w:ascii="Times New Roman" w:hAnsi="Times New Roman" w:cs="Times New Roman"/>
              </w:rPr>
            </w:pPr>
          </w:p>
        </w:tc>
        <w:tc>
          <w:tcPr>
            <w:tcW w:w="641" w:type="dxa"/>
            <w:noWrap/>
            <w:hideMark/>
          </w:tcPr>
          <w:p w14:paraId="76A57F1D"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33</w:t>
            </w:r>
          </w:p>
        </w:tc>
        <w:tc>
          <w:tcPr>
            <w:tcW w:w="641" w:type="dxa"/>
            <w:noWrap/>
            <w:hideMark/>
          </w:tcPr>
          <w:p w14:paraId="460A7658"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38</w:t>
            </w:r>
          </w:p>
        </w:tc>
        <w:tc>
          <w:tcPr>
            <w:tcW w:w="641" w:type="dxa"/>
            <w:noWrap/>
            <w:hideMark/>
          </w:tcPr>
          <w:p w14:paraId="1A6ADCB9"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10A25504"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3EA4299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3ADC1CA2"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46</w:t>
            </w:r>
          </w:p>
        </w:tc>
        <w:tc>
          <w:tcPr>
            <w:tcW w:w="641" w:type="dxa"/>
            <w:noWrap/>
            <w:hideMark/>
          </w:tcPr>
          <w:p w14:paraId="29435516"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46</w:t>
            </w:r>
          </w:p>
        </w:tc>
        <w:tc>
          <w:tcPr>
            <w:tcW w:w="641" w:type="dxa"/>
            <w:noWrap/>
            <w:hideMark/>
          </w:tcPr>
          <w:p w14:paraId="1723E57E"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44</w:t>
            </w:r>
          </w:p>
        </w:tc>
        <w:tc>
          <w:tcPr>
            <w:tcW w:w="641" w:type="dxa"/>
            <w:noWrap/>
            <w:hideMark/>
          </w:tcPr>
          <w:p w14:paraId="5727C49A"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44</w:t>
            </w:r>
          </w:p>
        </w:tc>
        <w:tc>
          <w:tcPr>
            <w:tcW w:w="641" w:type="dxa"/>
            <w:noWrap/>
            <w:hideMark/>
          </w:tcPr>
          <w:p w14:paraId="2BAE19C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511F5B87"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3B073664"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1EBE66D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43</w:t>
            </w:r>
          </w:p>
        </w:tc>
      </w:tr>
    </w:tbl>
    <w:p w14:paraId="6B40E118" w14:textId="77777777" w:rsidR="008B2F98" w:rsidRPr="007A1346" w:rsidRDefault="008B2F98" w:rsidP="00BB5CFD">
      <w:pPr>
        <w:spacing w:after="0" w:line="240" w:lineRule="auto"/>
        <w:ind w:right="-2"/>
        <w:jc w:val="both"/>
        <w:rPr>
          <w:rFonts w:ascii="Times New Roman" w:hAnsi="Times New Roman" w:cs="Times New Roman"/>
          <w:sz w:val="24"/>
          <w:szCs w:val="24"/>
        </w:rPr>
      </w:pPr>
    </w:p>
    <w:p w14:paraId="33085459" w14:textId="77777777" w:rsidR="00EC38A9" w:rsidRDefault="00002AE9" w:rsidP="00BB5CFD">
      <w:pPr>
        <w:pStyle w:val="ListeParagraf"/>
        <w:spacing w:after="0" w:line="240" w:lineRule="auto"/>
        <w:ind w:left="0"/>
        <w:jc w:val="both"/>
        <w:rPr>
          <w:rFonts w:ascii="Times New Roman" w:hAnsi="Times New Roman"/>
          <w:color w:val="000000" w:themeColor="text1"/>
          <w:sz w:val="24"/>
          <w:szCs w:val="24"/>
        </w:rPr>
      </w:pPr>
      <w:r w:rsidRPr="007A1346">
        <w:rPr>
          <w:rFonts w:ascii="Times New Roman" w:hAnsi="Times New Roman" w:cs="Times New Roman"/>
          <w:sz w:val="24"/>
          <w:szCs w:val="24"/>
        </w:rPr>
        <w:t>Ö</w:t>
      </w:r>
      <w:r w:rsidR="001C1548" w:rsidRPr="007A1346">
        <w:rPr>
          <w:rFonts w:ascii="Times New Roman" w:hAnsi="Times New Roman" w:cs="Times New Roman"/>
          <w:sz w:val="24"/>
          <w:szCs w:val="24"/>
        </w:rPr>
        <w:t xml:space="preserve">te yandan, </w:t>
      </w:r>
      <w:r w:rsidR="00D40677">
        <w:rPr>
          <w:rFonts w:ascii="Times New Roman" w:hAnsi="Times New Roman" w:cs="Times New Roman"/>
          <w:sz w:val="24"/>
          <w:szCs w:val="24"/>
        </w:rPr>
        <w:t>Derginin 20</w:t>
      </w:r>
      <w:r w:rsidR="00EC38A9">
        <w:rPr>
          <w:rFonts w:ascii="Times New Roman" w:hAnsi="Times New Roman" w:cs="Times New Roman"/>
          <w:sz w:val="24"/>
          <w:szCs w:val="24"/>
        </w:rPr>
        <w:t>2</w:t>
      </w:r>
      <w:r w:rsidR="00227E13">
        <w:rPr>
          <w:rFonts w:ascii="Times New Roman" w:hAnsi="Times New Roman" w:cs="Times New Roman"/>
          <w:sz w:val="24"/>
          <w:szCs w:val="24"/>
        </w:rPr>
        <w:t>4</w:t>
      </w:r>
      <w:r w:rsidR="00D40677">
        <w:rPr>
          <w:rFonts w:ascii="Times New Roman" w:hAnsi="Times New Roman" w:cs="Times New Roman"/>
          <w:sz w:val="24"/>
          <w:szCs w:val="24"/>
        </w:rPr>
        <w:t xml:space="preserve"> yılı sayısındaki </w:t>
      </w:r>
      <w:r w:rsidR="005102EE">
        <w:rPr>
          <w:rFonts w:ascii="Times New Roman" w:hAnsi="Times New Roman" w:cs="Times New Roman"/>
          <w:sz w:val="24"/>
          <w:szCs w:val="24"/>
        </w:rPr>
        <w:t>202</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yılı gelirlerine göre 4</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firmamızın üstlendiği </w:t>
      </w:r>
      <w:r w:rsidR="005816A6" w:rsidRPr="007A1346">
        <w:rPr>
          <w:rFonts w:ascii="Times New Roman" w:hAnsi="Times New Roman" w:cs="Times New Roman"/>
          <w:b/>
          <w:sz w:val="24"/>
          <w:szCs w:val="24"/>
        </w:rPr>
        <w:t>proje</w:t>
      </w:r>
      <w:r w:rsidR="007163F3">
        <w:rPr>
          <w:rFonts w:ascii="Times New Roman" w:hAnsi="Times New Roman" w:cs="Times New Roman"/>
          <w:b/>
          <w:sz w:val="24"/>
          <w:szCs w:val="24"/>
        </w:rPr>
        <w:t>lerden elde edilen gelirler</w:t>
      </w:r>
      <w:r w:rsidR="00A23529">
        <w:rPr>
          <w:rFonts w:ascii="Times New Roman" w:hAnsi="Times New Roman" w:cs="Times New Roman"/>
          <w:b/>
          <w:sz w:val="24"/>
          <w:szCs w:val="24"/>
        </w:rPr>
        <w:t xml:space="preserve"> ile ülkemiz </w:t>
      </w:r>
      <w:r w:rsidR="0079258D">
        <w:rPr>
          <w:rFonts w:ascii="Times New Roman" w:hAnsi="Times New Roman" w:cs="Times New Roman"/>
          <w:b/>
          <w:sz w:val="24"/>
          <w:szCs w:val="24"/>
        </w:rPr>
        <w:t>8</w:t>
      </w:r>
      <w:r w:rsidR="001C1548" w:rsidRPr="007A1346">
        <w:rPr>
          <w:rFonts w:ascii="Times New Roman" w:hAnsi="Times New Roman" w:cs="Times New Roman"/>
          <w:b/>
          <w:sz w:val="24"/>
          <w:szCs w:val="24"/>
        </w:rPr>
        <w:t xml:space="preserve">. </w:t>
      </w:r>
      <w:r w:rsidR="005816A6" w:rsidRPr="007A1346">
        <w:rPr>
          <w:rFonts w:ascii="Times New Roman" w:hAnsi="Times New Roman" w:cs="Times New Roman"/>
          <w:b/>
          <w:sz w:val="24"/>
          <w:szCs w:val="24"/>
        </w:rPr>
        <w:t>s</w:t>
      </w:r>
      <w:r w:rsidR="001C1548" w:rsidRPr="007A1346">
        <w:rPr>
          <w:rFonts w:ascii="Times New Roman" w:hAnsi="Times New Roman" w:cs="Times New Roman"/>
          <w:b/>
          <w:sz w:val="24"/>
          <w:szCs w:val="24"/>
        </w:rPr>
        <w:t>ırada</w:t>
      </w:r>
      <w:r w:rsidR="001C1548" w:rsidRPr="007A1346">
        <w:rPr>
          <w:rFonts w:ascii="Times New Roman" w:hAnsi="Times New Roman" w:cs="Times New Roman"/>
          <w:sz w:val="24"/>
          <w:szCs w:val="24"/>
        </w:rPr>
        <w:t xml:space="preserve"> yer almaktadır. Bahse konu listede Türk müteahhitlik sektörü t</w:t>
      </w:r>
      <w:r w:rsidR="007C4C3C" w:rsidRPr="007A1346">
        <w:rPr>
          <w:rFonts w:ascii="Times New Roman" w:hAnsi="Times New Roman" w:cs="Times New Roman"/>
          <w:sz w:val="24"/>
          <w:szCs w:val="24"/>
        </w:rPr>
        <w:t xml:space="preserve">oplam </w:t>
      </w:r>
      <w:r w:rsidR="00FC4192">
        <w:rPr>
          <w:rFonts w:ascii="Times New Roman" w:hAnsi="Times New Roman" w:cs="Times New Roman"/>
          <w:sz w:val="24"/>
          <w:szCs w:val="24"/>
        </w:rPr>
        <w:t>499,7</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dolarlık gelir pastasından </w:t>
      </w:r>
      <w:r w:rsidR="0079258D">
        <w:rPr>
          <w:rFonts w:ascii="Times New Roman" w:hAnsi="Times New Roman" w:cs="Times New Roman"/>
          <w:sz w:val="24"/>
          <w:szCs w:val="24"/>
        </w:rPr>
        <w:t>18,</w:t>
      </w:r>
      <w:r w:rsidR="00FC4192">
        <w:rPr>
          <w:rFonts w:ascii="Times New Roman" w:hAnsi="Times New Roman" w:cs="Times New Roman"/>
          <w:sz w:val="24"/>
          <w:szCs w:val="24"/>
        </w:rPr>
        <w:t>5</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w:t>
      </w:r>
      <w:r w:rsidR="00E86143" w:rsidRPr="007A1346">
        <w:rPr>
          <w:rFonts w:ascii="Times New Roman" w:hAnsi="Times New Roman" w:cs="Times New Roman"/>
          <w:sz w:val="24"/>
          <w:szCs w:val="24"/>
        </w:rPr>
        <w:t>dolarlık bir</w:t>
      </w:r>
      <w:r w:rsidR="001C1548" w:rsidRPr="007A1346">
        <w:rPr>
          <w:rFonts w:ascii="Times New Roman" w:hAnsi="Times New Roman" w:cs="Times New Roman"/>
          <w:sz w:val="24"/>
          <w:szCs w:val="24"/>
        </w:rPr>
        <w:t xml:space="preserve"> pay almıştır. </w:t>
      </w:r>
      <w:r w:rsidR="005102EE" w:rsidRPr="003F4423">
        <w:rPr>
          <w:rFonts w:ascii="Times New Roman" w:hAnsi="Times New Roman"/>
          <w:color w:val="000000" w:themeColor="text1"/>
          <w:sz w:val="24"/>
          <w:szCs w:val="24"/>
        </w:rPr>
        <w:t xml:space="preserve">Türk müteahhitlik firmalarının gelirlerinin listedeki firmaların toplam gelirleri içerisindeki payı da bir önceki yılda ulaşılan </w:t>
      </w:r>
      <w:r w:rsidR="00437393" w:rsidRPr="005102EE">
        <w:rPr>
          <w:rFonts w:ascii="Times New Roman" w:hAnsi="Times New Roman"/>
          <w:color w:val="000000" w:themeColor="text1"/>
          <w:sz w:val="24"/>
          <w:szCs w:val="24"/>
        </w:rPr>
        <w:t>%</w:t>
      </w:r>
      <w:r w:rsidR="00FC4192">
        <w:rPr>
          <w:rFonts w:ascii="Times New Roman" w:hAnsi="Times New Roman"/>
          <w:color w:val="000000" w:themeColor="text1"/>
          <w:sz w:val="24"/>
          <w:szCs w:val="24"/>
        </w:rPr>
        <w:t xml:space="preserve">4,4’ten </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3,7</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y</w:t>
      </w:r>
      <w:r w:rsidR="005102EE" w:rsidRPr="005102EE">
        <w:rPr>
          <w:rFonts w:ascii="Times New Roman" w:hAnsi="Times New Roman"/>
          <w:color w:val="000000" w:themeColor="text1"/>
          <w:sz w:val="24"/>
          <w:szCs w:val="24"/>
        </w:rPr>
        <w:t xml:space="preserve">e </w:t>
      </w:r>
      <w:r w:rsidR="0079258D">
        <w:rPr>
          <w:rFonts w:ascii="Times New Roman" w:hAnsi="Times New Roman"/>
          <w:color w:val="000000" w:themeColor="text1"/>
          <w:sz w:val="24"/>
          <w:szCs w:val="24"/>
        </w:rPr>
        <w:t>gerilemiştir.</w:t>
      </w:r>
    </w:p>
    <w:p w14:paraId="6198B345" w14:textId="77777777" w:rsidR="00F603EA" w:rsidRPr="005102EE" w:rsidRDefault="00F603EA" w:rsidP="00BB5CFD">
      <w:pPr>
        <w:pStyle w:val="ListeParagraf"/>
        <w:spacing w:after="0" w:line="240" w:lineRule="auto"/>
        <w:ind w:left="0"/>
        <w:jc w:val="both"/>
        <w:rPr>
          <w:rFonts w:ascii="Times New Roman" w:hAnsi="Times New Roman" w:cs="Times New Roman"/>
          <w:sz w:val="24"/>
          <w:szCs w:val="24"/>
        </w:rPr>
      </w:pPr>
    </w:p>
    <w:p w14:paraId="3A224F35" w14:textId="77777777" w:rsidR="003B21CF" w:rsidRDefault="003B21CF" w:rsidP="00BB5CFD">
      <w:pPr>
        <w:spacing w:after="0" w:line="240" w:lineRule="auto"/>
        <w:ind w:right="-2"/>
        <w:jc w:val="both"/>
        <w:rPr>
          <w:rFonts w:ascii="Times New Roman" w:hAnsi="Times New Roman" w:cs="Times New Roman"/>
          <w:sz w:val="24"/>
          <w:szCs w:val="24"/>
        </w:rPr>
      </w:pPr>
      <w:r w:rsidRPr="00193195">
        <w:rPr>
          <w:rFonts w:ascii="Times New Roman" w:hAnsi="Times New Roman" w:cs="Times New Roman"/>
          <w:sz w:val="24"/>
          <w:szCs w:val="24"/>
        </w:rPr>
        <w:t>Toplam gelirden en büyük payı ise Çinli (%</w:t>
      </w:r>
      <w:r w:rsidR="00B25F0B">
        <w:rPr>
          <w:rFonts w:ascii="Times New Roman" w:hAnsi="Times New Roman" w:cs="Times New Roman"/>
          <w:sz w:val="24"/>
          <w:szCs w:val="24"/>
        </w:rPr>
        <w:t>24,6</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122,9</w:t>
      </w:r>
      <w:r w:rsidRPr="00193195">
        <w:rPr>
          <w:rFonts w:ascii="Times New Roman" w:hAnsi="Times New Roman" w:cs="Times New Roman"/>
          <w:sz w:val="24"/>
          <w:szCs w:val="24"/>
        </w:rPr>
        <w:t xml:space="preserve"> milyar dolar), </w:t>
      </w:r>
      <w:r w:rsidR="0079258D" w:rsidRPr="00193195">
        <w:rPr>
          <w:rFonts w:ascii="Times New Roman" w:hAnsi="Times New Roman" w:cs="Times New Roman"/>
          <w:sz w:val="24"/>
          <w:szCs w:val="24"/>
        </w:rPr>
        <w:t>Fransız (%</w:t>
      </w:r>
      <w:r w:rsidR="00B25F0B">
        <w:rPr>
          <w:rFonts w:ascii="Times New Roman" w:hAnsi="Times New Roman" w:cs="Times New Roman"/>
          <w:sz w:val="24"/>
          <w:szCs w:val="24"/>
        </w:rPr>
        <w:t>17</w:t>
      </w:r>
      <w:r w:rsidR="0079258D" w:rsidRPr="00193195">
        <w:rPr>
          <w:rFonts w:ascii="Times New Roman" w:hAnsi="Times New Roman" w:cs="Times New Roman"/>
          <w:sz w:val="24"/>
          <w:szCs w:val="24"/>
        </w:rPr>
        <w:t xml:space="preserve"> – </w:t>
      </w:r>
      <w:r w:rsidR="00B25F0B">
        <w:rPr>
          <w:rFonts w:ascii="Times New Roman" w:hAnsi="Times New Roman" w:cs="Times New Roman"/>
          <w:sz w:val="24"/>
          <w:szCs w:val="24"/>
        </w:rPr>
        <w:t>84,9</w:t>
      </w:r>
      <w:r w:rsidR="0079258D" w:rsidRPr="00193195">
        <w:rPr>
          <w:rFonts w:ascii="Times New Roman" w:hAnsi="Times New Roman" w:cs="Times New Roman"/>
          <w:sz w:val="24"/>
          <w:szCs w:val="24"/>
        </w:rPr>
        <w:t xml:space="preserve"> milyar dolar), </w:t>
      </w:r>
      <w:r w:rsidRPr="00193195">
        <w:rPr>
          <w:rFonts w:ascii="Times New Roman" w:hAnsi="Times New Roman" w:cs="Times New Roman"/>
          <w:sz w:val="24"/>
          <w:szCs w:val="24"/>
        </w:rPr>
        <w:t>İspanyol (%</w:t>
      </w:r>
      <w:r w:rsidR="00B25F0B">
        <w:rPr>
          <w:rFonts w:ascii="Times New Roman" w:hAnsi="Times New Roman" w:cs="Times New Roman"/>
          <w:sz w:val="24"/>
          <w:szCs w:val="24"/>
        </w:rPr>
        <w:t>11,9</w:t>
      </w:r>
      <w:r w:rsidRPr="00193195">
        <w:rPr>
          <w:rFonts w:ascii="Times New Roman" w:hAnsi="Times New Roman" w:cs="Times New Roman"/>
          <w:sz w:val="24"/>
          <w:szCs w:val="24"/>
        </w:rPr>
        <w:t xml:space="preserve"> – </w:t>
      </w:r>
      <w:r w:rsidR="00DE5444">
        <w:rPr>
          <w:rFonts w:ascii="Times New Roman" w:hAnsi="Times New Roman" w:cs="Times New Roman"/>
          <w:sz w:val="24"/>
          <w:szCs w:val="24"/>
        </w:rPr>
        <w:t>5</w:t>
      </w:r>
      <w:r w:rsidR="0079258D">
        <w:rPr>
          <w:rFonts w:ascii="Times New Roman" w:hAnsi="Times New Roman" w:cs="Times New Roman"/>
          <w:sz w:val="24"/>
          <w:szCs w:val="24"/>
        </w:rPr>
        <w:t>9,4</w:t>
      </w:r>
      <w:r w:rsidR="00DE5444">
        <w:rPr>
          <w:rFonts w:ascii="Times New Roman" w:hAnsi="Times New Roman" w:cs="Times New Roman"/>
          <w:sz w:val="24"/>
          <w:szCs w:val="24"/>
        </w:rPr>
        <w:t xml:space="preserve"> </w:t>
      </w:r>
      <w:r w:rsidRPr="00193195">
        <w:rPr>
          <w:rFonts w:ascii="Times New Roman" w:hAnsi="Times New Roman" w:cs="Times New Roman"/>
          <w:sz w:val="24"/>
          <w:szCs w:val="24"/>
        </w:rPr>
        <w:t>milyar dolar), Amerikan (%</w:t>
      </w:r>
      <w:r w:rsidR="00DE5444">
        <w:rPr>
          <w:rFonts w:ascii="Times New Roman" w:hAnsi="Times New Roman" w:cs="Times New Roman"/>
          <w:sz w:val="24"/>
          <w:szCs w:val="24"/>
        </w:rPr>
        <w:t>6,</w:t>
      </w:r>
      <w:r w:rsidR="00B25F0B">
        <w:rPr>
          <w:rFonts w:ascii="Times New Roman" w:hAnsi="Times New Roman" w:cs="Times New Roman"/>
          <w:sz w:val="24"/>
          <w:szCs w:val="24"/>
        </w:rPr>
        <w:t>9</w:t>
      </w:r>
      <w:r w:rsidRPr="00193195">
        <w:rPr>
          <w:rFonts w:ascii="Times New Roman" w:hAnsi="Times New Roman" w:cs="Times New Roman"/>
          <w:sz w:val="24"/>
          <w:szCs w:val="24"/>
        </w:rPr>
        <w:t xml:space="preserve"> – </w:t>
      </w:r>
      <w:r w:rsidR="00B25F0B">
        <w:rPr>
          <w:rFonts w:ascii="Times New Roman" w:hAnsi="Times New Roman" w:cs="Times New Roman"/>
          <w:sz w:val="24"/>
          <w:szCs w:val="24"/>
        </w:rPr>
        <w:t>34,27</w:t>
      </w:r>
      <w:r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w:t>
      </w:r>
      <w:r w:rsidR="00A51A95" w:rsidRPr="00193195">
        <w:rPr>
          <w:rFonts w:ascii="Times New Roman" w:hAnsi="Times New Roman" w:cs="Times New Roman"/>
          <w:sz w:val="24"/>
          <w:szCs w:val="24"/>
        </w:rPr>
        <w:t>Koreli (%</w:t>
      </w:r>
      <w:r w:rsidR="00A51A95">
        <w:rPr>
          <w:rFonts w:ascii="Times New Roman" w:hAnsi="Times New Roman" w:cs="Times New Roman"/>
          <w:sz w:val="24"/>
          <w:szCs w:val="24"/>
        </w:rPr>
        <w:t>6,</w:t>
      </w:r>
      <w:r w:rsidR="00B25F0B">
        <w:rPr>
          <w:rFonts w:ascii="Times New Roman" w:hAnsi="Times New Roman" w:cs="Times New Roman"/>
          <w:sz w:val="24"/>
          <w:szCs w:val="24"/>
        </w:rPr>
        <w:t>8</w:t>
      </w:r>
      <w:r w:rsidR="00A51A95" w:rsidRPr="00193195">
        <w:rPr>
          <w:rFonts w:ascii="Times New Roman" w:hAnsi="Times New Roman" w:cs="Times New Roman"/>
          <w:sz w:val="24"/>
          <w:szCs w:val="24"/>
        </w:rPr>
        <w:t>–</w:t>
      </w:r>
      <w:r w:rsidR="00B25F0B">
        <w:rPr>
          <w:rFonts w:ascii="Times New Roman" w:hAnsi="Times New Roman" w:cs="Times New Roman"/>
          <w:sz w:val="24"/>
          <w:szCs w:val="24"/>
        </w:rPr>
        <w:t>34,17</w:t>
      </w:r>
      <w:r w:rsidR="00A51A95"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ve</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İtalya</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6,3</w:t>
      </w:r>
      <w:r w:rsidRPr="00193195">
        <w:rPr>
          <w:rFonts w:ascii="Times New Roman" w:hAnsi="Times New Roman" w:cs="Times New Roman"/>
          <w:sz w:val="24"/>
          <w:szCs w:val="24"/>
        </w:rPr>
        <w:t>–</w:t>
      </w:r>
      <w:r w:rsidR="00B25F0B">
        <w:rPr>
          <w:rFonts w:ascii="Times New Roman" w:hAnsi="Times New Roman" w:cs="Times New Roman"/>
          <w:sz w:val="24"/>
          <w:szCs w:val="24"/>
        </w:rPr>
        <w:t>31,63</w:t>
      </w:r>
      <w:r w:rsidRPr="00193195">
        <w:rPr>
          <w:rFonts w:ascii="Times New Roman" w:hAnsi="Times New Roman" w:cs="Times New Roman"/>
          <w:sz w:val="24"/>
          <w:szCs w:val="24"/>
        </w:rPr>
        <w:t xml:space="preserve"> milyar dolar) almıştır.</w:t>
      </w:r>
    </w:p>
    <w:p w14:paraId="514588BB" w14:textId="77777777" w:rsidR="00F603EA" w:rsidRPr="007A1346" w:rsidRDefault="00F603EA" w:rsidP="00BB5CFD">
      <w:pPr>
        <w:spacing w:after="0" w:line="240" w:lineRule="auto"/>
        <w:ind w:right="-2"/>
        <w:jc w:val="both"/>
        <w:rPr>
          <w:rFonts w:ascii="Times New Roman" w:hAnsi="Times New Roman" w:cs="Times New Roman"/>
          <w:sz w:val="24"/>
          <w:szCs w:val="24"/>
        </w:rPr>
      </w:pPr>
    </w:p>
    <w:p w14:paraId="739B5E06" w14:textId="77777777" w:rsidR="003B21CF" w:rsidRDefault="003B21CF" w:rsidP="00BB5CFD">
      <w:pPr>
        <w:spacing w:after="0" w:line="240" w:lineRule="auto"/>
        <w:ind w:right="-2"/>
        <w:jc w:val="both"/>
        <w:rPr>
          <w:rFonts w:ascii="Times New Roman" w:hAnsi="Times New Roman" w:cs="Times New Roman"/>
          <w:sz w:val="24"/>
          <w:szCs w:val="24"/>
        </w:rPr>
      </w:pPr>
      <w:r w:rsidRPr="007A1346">
        <w:rPr>
          <w:rFonts w:ascii="Times New Roman" w:hAnsi="Times New Roman" w:cs="Times New Roman"/>
          <w:sz w:val="24"/>
          <w:szCs w:val="24"/>
        </w:rPr>
        <w:t>Bu listeye göre bölgesel olarak müteahhitlik paz</w:t>
      </w:r>
      <w:r w:rsidR="005102EE">
        <w:rPr>
          <w:rFonts w:ascii="Times New Roman" w:hAnsi="Times New Roman" w:cs="Times New Roman"/>
          <w:sz w:val="24"/>
          <w:szCs w:val="24"/>
        </w:rPr>
        <w:t>arlarından Ortadoğu’da Çinli (%</w:t>
      </w:r>
      <w:r w:rsidR="00B64C84">
        <w:rPr>
          <w:rFonts w:ascii="Times New Roman" w:hAnsi="Times New Roman" w:cs="Times New Roman"/>
          <w:sz w:val="24"/>
          <w:szCs w:val="24"/>
        </w:rPr>
        <w:t>25,3</w:t>
      </w:r>
      <w:r w:rsidRPr="007A1346">
        <w:rPr>
          <w:rFonts w:ascii="Times New Roman" w:hAnsi="Times New Roman" w:cs="Times New Roman"/>
          <w:sz w:val="24"/>
          <w:szCs w:val="24"/>
        </w:rPr>
        <w:t xml:space="preserve">) ve </w:t>
      </w:r>
      <w:r w:rsidR="00B64C84">
        <w:rPr>
          <w:rFonts w:ascii="Times New Roman" w:hAnsi="Times New Roman" w:cs="Times New Roman"/>
          <w:sz w:val="24"/>
          <w:szCs w:val="24"/>
        </w:rPr>
        <w:t>İtalyan</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13,6</w:t>
      </w:r>
      <w:r w:rsidRPr="007A1346">
        <w:rPr>
          <w:rFonts w:ascii="Times New Roman" w:hAnsi="Times New Roman" w:cs="Times New Roman"/>
          <w:sz w:val="24"/>
          <w:szCs w:val="24"/>
        </w:rPr>
        <w:t>) firmaların, Asya’da Çinli (%</w:t>
      </w:r>
      <w:r w:rsidR="00A51A95">
        <w:rPr>
          <w:rFonts w:ascii="Times New Roman" w:hAnsi="Times New Roman" w:cs="Times New Roman"/>
          <w:sz w:val="24"/>
          <w:szCs w:val="24"/>
        </w:rPr>
        <w:t>5</w:t>
      </w:r>
      <w:r w:rsidR="00B64C84">
        <w:rPr>
          <w:rFonts w:ascii="Times New Roman" w:hAnsi="Times New Roman" w:cs="Times New Roman"/>
          <w:sz w:val="24"/>
          <w:szCs w:val="24"/>
        </w:rPr>
        <w:t>5,8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Koreli</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w:t>
      </w:r>
      <w:r w:rsidR="00A51A95">
        <w:rPr>
          <w:rFonts w:ascii="Times New Roman" w:hAnsi="Times New Roman" w:cs="Times New Roman"/>
          <w:sz w:val="24"/>
          <w:szCs w:val="24"/>
        </w:rPr>
        <w:t>%</w:t>
      </w:r>
      <w:r w:rsidR="00B64C84">
        <w:rPr>
          <w:rFonts w:ascii="Times New Roman" w:hAnsi="Times New Roman" w:cs="Times New Roman"/>
          <w:sz w:val="24"/>
          <w:szCs w:val="24"/>
        </w:rPr>
        <w:t>11,4</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firmaların, Afrika’da ise Çinli (%</w:t>
      </w:r>
      <w:r w:rsidR="00B64C84">
        <w:rPr>
          <w:rFonts w:ascii="Times New Roman" w:hAnsi="Times New Roman" w:cs="Times New Roman"/>
          <w:sz w:val="24"/>
          <w:szCs w:val="24"/>
        </w:rPr>
        <w:t>56,8)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İtalyan</w:t>
      </w:r>
      <w:r w:rsidR="005102EE">
        <w:rPr>
          <w:rFonts w:ascii="Times New Roman" w:hAnsi="Times New Roman" w:cs="Times New Roman"/>
          <w:sz w:val="24"/>
          <w:szCs w:val="24"/>
        </w:rPr>
        <w:t xml:space="preserve"> </w:t>
      </w:r>
      <w:r w:rsidR="0082552E" w:rsidRPr="0082552E">
        <w:rPr>
          <w:rFonts w:ascii="Times New Roman" w:hAnsi="Times New Roman" w:cs="Times New Roman"/>
          <w:sz w:val="24"/>
          <w:szCs w:val="24"/>
        </w:rPr>
        <w:t>(%</w:t>
      </w:r>
      <w:r w:rsidR="00B64C84">
        <w:rPr>
          <w:rFonts w:ascii="Times New Roman" w:hAnsi="Times New Roman" w:cs="Times New Roman"/>
          <w:sz w:val="24"/>
          <w:szCs w:val="24"/>
        </w:rPr>
        <w:t>10,9</w:t>
      </w:r>
      <w:r w:rsidRPr="0082552E">
        <w:rPr>
          <w:rFonts w:ascii="Times New Roman" w:hAnsi="Times New Roman" w:cs="Times New Roman"/>
          <w:sz w:val="24"/>
          <w:szCs w:val="24"/>
        </w:rPr>
        <w:t>)</w:t>
      </w:r>
      <w:r w:rsidR="00C74DD2">
        <w:rPr>
          <w:rFonts w:ascii="Times New Roman" w:hAnsi="Times New Roman" w:cs="Times New Roman"/>
          <w:sz w:val="24"/>
          <w:szCs w:val="24"/>
        </w:rPr>
        <w:t xml:space="preserve"> </w:t>
      </w:r>
      <w:r w:rsidRPr="0082552E">
        <w:rPr>
          <w:rFonts w:ascii="Times New Roman" w:hAnsi="Times New Roman" w:cs="Times New Roman"/>
          <w:sz w:val="24"/>
          <w:szCs w:val="24"/>
        </w:rPr>
        <w:t>firmaların üstünlükleri</w:t>
      </w:r>
      <w:r w:rsidRPr="007A1346">
        <w:rPr>
          <w:rFonts w:ascii="Times New Roman" w:hAnsi="Times New Roman" w:cs="Times New Roman"/>
          <w:sz w:val="24"/>
          <w:szCs w:val="24"/>
        </w:rPr>
        <w:t xml:space="preserve"> olduğu görülmektedir. Türk firmalarının ise Ortadoğu (%</w:t>
      </w:r>
      <w:r w:rsidR="00DA6F15">
        <w:rPr>
          <w:rFonts w:ascii="Times New Roman" w:hAnsi="Times New Roman" w:cs="Times New Roman"/>
          <w:sz w:val="24"/>
          <w:szCs w:val="24"/>
        </w:rPr>
        <w:t>7,8</w:t>
      </w:r>
      <w:r w:rsidRPr="007A1346">
        <w:rPr>
          <w:rFonts w:ascii="Times New Roman" w:hAnsi="Times New Roman" w:cs="Times New Roman"/>
          <w:sz w:val="24"/>
          <w:szCs w:val="24"/>
        </w:rPr>
        <w:t>), Avrupa (%</w:t>
      </w:r>
      <w:r w:rsidR="00DA6F15">
        <w:rPr>
          <w:rFonts w:ascii="Times New Roman" w:hAnsi="Times New Roman" w:cs="Times New Roman"/>
          <w:sz w:val="24"/>
          <w:szCs w:val="24"/>
        </w:rPr>
        <w:t>6,6</w:t>
      </w:r>
      <w:r w:rsidRPr="007A1346">
        <w:rPr>
          <w:rFonts w:ascii="Times New Roman" w:hAnsi="Times New Roman" w:cs="Times New Roman"/>
          <w:sz w:val="24"/>
          <w:szCs w:val="24"/>
        </w:rPr>
        <w:t>), Asya (%</w:t>
      </w:r>
      <w:r w:rsidR="00A51A95">
        <w:rPr>
          <w:rFonts w:ascii="Times New Roman" w:hAnsi="Times New Roman" w:cs="Times New Roman"/>
          <w:sz w:val="24"/>
          <w:szCs w:val="24"/>
        </w:rPr>
        <w:t>2,</w:t>
      </w:r>
      <w:r w:rsidR="00DA6F15">
        <w:rPr>
          <w:rFonts w:ascii="Times New Roman" w:hAnsi="Times New Roman" w:cs="Times New Roman"/>
          <w:sz w:val="24"/>
          <w:szCs w:val="24"/>
        </w:rPr>
        <w:t>1</w:t>
      </w:r>
      <w:r w:rsidR="00C74DD2">
        <w:rPr>
          <w:rFonts w:ascii="Times New Roman" w:hAnsi="Times New Roman" w:cs="Times New Roman"/>
          <w:sz w:val="24"/>
          <w:szCs w:val="24"/>
        </w:rPr>
        <w:t>) ve Afrika’da (%</w:t>
      </w:r>
      <w:r w:rsidR="00541645">
        <w:rPr>
          <w:rFonts w:ascii="Times New Roman" w:hAnsi="Times New Roman" w:cs="Times New Roman"/>
          <w:sz w:val="24"/>
          <w:szCs w:val="24"/>
        </w:rPr>
        <w:t>4,3</w:t>
      </w:r>
      <w:r w:rsidRPr="007A1346">
        <w:rPr>
          <w:rFonts w:ascii="Times New Roman" w:hAnsi="Times New Roman" w:cs="Times New Roman"/>
          <w:sz w:val="24"/>
          <w:szCs w:val="24"/>
        </w:rPr>
        <w:t>) etkin olduğu anlaşılmaktadır.</w:t>
      </w:r>
    </w:p>
    <w:p w14:paraId="1927EEF0" w14:textId="77777777" w:rsidR="00C66D58" w:rsidRDefault="00C66D58" w:rsidP="00BB5CFD">
      <w:pPr>
        <w:spacing w:after="0" w:line="240" w:lineRule="auto"/>
        <w:jc w:val="both"/>
        <w:rPr>
          <w:rFonts w:ascii="Times New Roman" w:hAnsi="Times New Roman" w:cs="Times New Roman"/>
          <w:b/>
          <w:sz w:val="24"/>
          <w:szCs w:val="24"/>
        </w:rPr>
      </w:pPr>
    </w:p>
    <w:tbl>
      <w:tblPr>
        <w:tblStyle w:val="KlavuzTablo6-Renkli-Vurgu5"/>
        <w:tblW w:w="9136" w:type="dxa"/>
        <w:jc w:val="center"/>
        <w:tblLook w:val="04A0" w:firstRow="1" w:lastRow="0" w:firstColumn="1" w:lastColumn="0" w:noHBand="0" w:noVBand="1"/>
      </w:tblPr>
      <w:tblGrid>
        <w:gridCol w:w="2536"/>
        <w:gridCol w:w="1899"/>
        <w:gridCol w:w="2148"/>
        <w:gridCol w:w="2553"/>
      </w:tblGrid>
      <w:tr w:rsidR="008B2F98" w:rsidRPr="00AE18B8" w14:paraId="03DFAFD4" w14:textId="77777777" w:rsidTr="00E451A3">
        <w:trPr>
          <w:cnfStyle w:val="100000000000" w:firstRow="1" w:lastRow="0" w:firstColumn="0" w:lastColumn="0" w:oddVBand="0" w:evenVBand="0" w:oddHBand="0"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2536" w:type="dxa"/>
            <w:shd w:val="clear" w:color="auto" w:fill="FFC000" w:themeFill="accent4"/>
            <w:noWrap/>
            <w:hideMark/>
          </w:tcPr>
          <w:p w14:paraId="2C063E90" w14:textId="77777777" w:rsidR="008B2F98" w:rsidRPr="00AE18B8" w:rsidRDefault="00425D4A" w:rsidP="00BB5CFD">
            <w:pPr>
              <w:jc w:val="center"/>
              <w:rPr>
                <w:rFonts w:ascii="Times New Roman" w:hAnsi="Times New Roman"/>
                <w:b w:val="0"/>
                <w:bCs w:val="0"/>
                <w:color w:val="000000" w:themeColor="text1"/>
                <w:sz w:val="24"/>
                <w:szCs w:val="24"/>
              </w:rPr>
            </w:pPr>
            <w:bookmarkStart w:id="8" w:name="_Hlk143785403"/>
            <w:r w:rsidRPr="00AE18B8">
              <w:rPr>
                <w:rFonts w:ascii="Times New Roman" w:hAnsi="Times New Roman"/>
                <w:color w:val="000000" w:themeColor="text1"/>
                <w:sz w:val="24"/>
                <w:szCs w:val="24"/>
              </w:rPr>
              <w:t>Ülkesi</w:t>
            </w:r>
          </w:p>
        </w:tc>
        <w:tc>
          <w:tcPr>
            <w:tcW w:w="1899" w:type="dxa"/>
            <w:shd w:val="clear" w:color="auto" w:fill="FFC000" w:themeFill="accent4"/>
            <w:noWrap/>
            <w:hideMark/>
          </w:tcPr>
          <w:p w14:paraId="069AD7D5" w14:textId="77777777" w:rsidR="008B2F98" w:rsidRPr="00AE18B8"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xml:space="preserve">Firma Sayısı </w:t>
            </w:r>
          </w:p>
        </w:tc>
        <w:tc>
          <w:tcPr>
            <w:tcW w:w="4701" w:type="dxa"/>
            <w:gridSpan w:val="2"/>
            <w:shd w:val="clear" w:color="auto" w:fill="FFC000" w:themeFill="accent4"/>
            <w:hideMark/>
          </w:tcPr>
          <w:p w14:paraId="7D56BEB9" w14:textId="77777777" w:rsidR="008B2F98" w:rsidRPr="00AE18B8"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Uluslararası Projelerden Elde Edilen Müteahhitlik Gelirleri</w:t>
            </w:r>
          </w:p>
        </w:tc>
      </w:tr>
      <w:tr w:rsidR="00227E13" w:rsidRPr="00AE18B8" w14:paraId="39F9C00B" w14:textId="77777777" w:rsidTr="00E451A3">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7690BCB" w14:textId="77777777" w:rsidR="008B2F98" w:rsidRPr="00AE18B8" w:rsidRDefault="008B2F98" w:rsidP="00BB5CFD">
            <w:pPr>
              <w:jc w:val="center"/>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w:t>
            </w:r>
          </w:p>
        </w:tc>
        <w:tc>
          <w:tcPr>
            <w:tcW w:w="1899" w:type="dxa"/>
            <w:noWrap/>
            <w:hideMark/>
          </w:tcPr>
          <w:p w14:paraId="53F631ED" w14:textId="77777777" w:rsidR="008B2F98" w:rsidRPr="00AE18B8"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 </w:t>
            </w:r>
          </w:p>
        </w:tc>
        <w:tc>
          <w:tcPr>
            <w:tcW w:w="2148" w:type="dxa"/>
            <w:noWrap/>
            <w:hideMark/>
          </w:tcPr>
          <w:p w14:paraId="26E6405E" w14:textId="77777777" w:rsidR="008B2F98" w:rsidRPr="00AE18B8" w:rsidRDefault="008B2F98" w:rsidP="00BB5CFD">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Milyar</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Dolar($)</w:t>
            </w:r>
          </w:p>
        </w:tc>
        <w:tc>
          <w:tcPr>
            <w:tcW w:w="2553" w:type="dxa"/>
            <w:noWrap/>
            <w:hideMark/>
          </w:tcPr>
          <w:p w14:paraId="6A4025DF" w14:textId="77777777" w:rsidR="008B2F98" w:rsidRPr="00AE18B8"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Yüzdesi</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w:t>
            </w:r>
          </w:p>
        </w:tc>
      </w:tr>
      <w:tr w:rsidR="008B2F98" w:rsidRPr="00AE18B8" w14:paraId="5594F31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492C48"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ABD</w:t>
            </w:r>
          </w:p>
        </w:tc>
        <w:tc>
          <w:tcPr>
            <w:tcW w:w="1899" w:type="dxa"/>
            <w:noWrap/>
            <w:hideMark/>
          </w:tcPr>
          <w:p w14:paraId="3B34882B"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38</w:t>
            </w:r>
          </w:p>
        </w:tc>
        <w:tc>
          <w:tcPr>
            <w:tcW w:w="2148" w:type="dxa"/>
            <w:noWrap/>
            <w:hideMark/>
          </w:tcPr>
          <w:p w14:paraId="6958B46F"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34,27</w:t>
            </w:r>
          </w:p>
        </w:tc>
        <w:tc>
          <w:tcPr>
            <w:tcW w:w="2553" w:type="dxa"/>
            <w:noWrap/>
            <w:hideMark/>
          </w:tcPr>
          <w:p w14:paraId="0B0EE5DD"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%6,9</w:t>
            </w:r>
          </w:p>
        </w:tc>
      </w:tr>
      <w:tr w:rsidR="00227E13" w:rsidRPr="00AE18B8" w14:paraId="4E641816"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4E3EFF8A" w14:textId="77777777" w:rsidR="008B2F98" w:rsidRPr="00D03258" w:rsidRDefault="008B2F98" w:rsidP="00BB5CFD">
            <w:pPr>
              <w:rPr>
                <w:rFonts w:ascii="Times New Roman" w:hAnsi="Times New Roman"/>
                <w:color w:val="000000" w:themeColor="text1"/>
                <w:sz w:val="24"/>
                <w:szCs w:val="24"/>
              </w:rPr>
            </w:pPr>
            <w:r w:rsidRPr="00D03258">
              <w:rPr>
                <w:rFonts w:ascii="Times New Roman" w:hAnsi="Times New Roman"/>
                <w:color w:val="000000" w:themeColor="text1"/>
                <w:sz w:val="24"/>
                <w:szCs w:val="24"/>
              </w:rPr>
              <w:t>Avustralya</w:t>
            </w:r>
          </w:p>
        </w:tc>
        <w:tc>
          <w:tcPr>
            <w:tcW w:w="1899" w:type="dxa"/>
            <w:noWrap/>
          </w:tcPr>
          <w:p w14:paraId="61DE3BD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w:t>
            </w:r>
          </w:p>
        </w:tc>
        <w:tc>
          <w:tcPr>
            <w:tcW w:w="2148" w:type="dxa"/>
            <w:noWrap/>
          </w:tcPr>
          <w:p w14:paraId="25AA270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1,59</w:t>
            </w:r>
          </w:p>
        </w:tc>
        <w:tc>
          <w:tcPr>
            <w:tcW w:w="2553" w:type="dxa"/>
            <w:noWrap/>
          </w:tcPr>
          <w:p w14:paraId="0BA830C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%0,3</w:t>
            </w:r>
          </w:p>
        </w:tc>
      </w:tr>
      <w:tr w:rsidR="008B2F98" w:rsidRPr="00AE18B8" w14:paraId="5E83456C"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70FCDD01"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Kanada</w:t>
            </w:r>
          </w:p>
        </w:tc>
        <w:tc>
          <w:tcPr>
            <w:tcW w:w="1899" w:type="dxa"/>
            <w:noWrap/>
            <w:hideMark/>
          </w:tcPr>
          <w:p w14:paraId="2FB7677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w:t>
            </w:r>
          </w:p>
        </w:tc>
        <w:tc>
          <w:tcPr>
            <w:tcW w:w="2148" w:type="dxa"/>
            <w:noWrap/>
            <w:hideMark/>
          </w:tcPr>
          <w:p w14:paraId="2A096D64"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1,90</w:t>
            </w:r>
          </w:p>
        </w:tc>
        <w:tc>
          <w:tcPr>
            <w:tcW w:w="2553" w:type="dxa"/>
            <w:noWrap/>
            <w:hideMark/>
          </w:tcPr>
          <w:p w14:paraId="46B6666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%0,4</w:t>
            </w:r>
          </w:p>
        </w:tc>
      </w:tr>
      <w:tr w:rsidR="00227E13" w:rsidRPr="00AE18B8" w14:paraId="01186B45" w14:textId="77777777" w:rsidTr="00E451A3">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D0B2F6D"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Avrupa</w:t>
            </w:r>
          </w:p>
        </w:tc>
        <w:tc>
          <w:tcPr>
            <w:tcW w:w="1899" w:type="dxa"/>
            <w:noWrap/>
            <w:hideMark/>
          </w:tcPr>
          <w:p w14:paraId="612757B7"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43</w:t>
            </w:r>
          </w:p>
        </w:tc>
        <w:tc>
          <w:tcPr>
            <w:tcW w:w="2148" w:type="dxa"/>
            <w:noWrap/>
            <w:hideMark/>
          </w:tcPr>
          <w:p w14:paraId="3D5CEFB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246,41</w:t>
            </w:r>
          </w:p>
        </w:tc>
        <w:tc>
          <w:tcPr>
            <w:tcW w:w="2553" w:type="dxa"/>
            <w:noWrap/>
            <w:hideMark/>
          </w:tcPr>
          <w:p w14:paraId="3164BFA2"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%49,3</w:t>
            </w:r>
          </w:p>
        </w:tc>
      </w:tr>
      <w:tr w:rsidR="008B2F98" w:rsidRPr="00AE18B8" w14:paraId="4211269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0D7D923"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İngiltere</w:t>
            </w:r>
          </w:p>
        </w:tc>
        <w:tc>
          <w:tcPr>
            <w:tcW w:w="1899" w:type="dxa"/>
            <w:noWrap/>
            <w:hideMark/>
          </w:tcPr>
          <w:p w14:paraId="13B1C77F"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263EFF75"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4,97</w:t>
            </w:r>
          </w:p>
        </w:tc>
        <w:tc>
          <w:tcPr>
            <w:tcW w:w="2553" w:type="dxa"/>
            <w:noWrap/>
            <w:hideMark/>
          </w:tcPr>
          <w:p w14:paraId="59DB030E"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w:t>
            </w:r>
          </w:p>
        </w:tc>
      </w:tr>
      <w:tr w:rsidR="00227E13" w:rsidRPr="00AE18B8" w14:paraId="1FFCBD72"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7021944"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Hollanda</w:t>
            </w:r>
          </w:p>
        </w:tc>
        <w:tc>
          <w:tcPr>
            <w:tcW w:w="1899" w:type="dxa"/>
            <w:noWrap/>
            <w:hideMark/>
          </w:tcPr>
          <w:p w14:paraId="1690183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30FD35D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13,42</w:t>
            </w:r>
          </w:p>
        </w:tc>
        <w:tc>
          <w:tcPr>
            <w:tcW w:w="2553" w:type="dxa"/>
            <w:noWrap/>
            <w:hideMark/>
          </w:tcPr>
          <w:p w14:paraId="7D0766B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%2,7</w:t>
            </w:r>
          </w:p>
        </w:tc>
      </w:tr>
      <w:tr w:rsidR="008B2F98" w:rsidRPr="00AE18B8" w14:paraId="3F509965"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FC8A2B"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Fransa</w:t>
            </w:r>
          </w:p>
        </w:tc>
        <w:tc>
          <w:tcPr>
            <w:tcW w:w="1899" w:type="dxa"/>
            <w:noWrap/>
            <w:hideMark/>
          </w:tcPr>
          <w:p w14:paraId="1C4D5F9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w:t>
            </w:r>
          </w:p>
        </w:tc>
        <w:tc>
          <w:tcPr>
            <w:tcW w:w="2148" w:type="dxa"/>
            <w:noWrap/>
            <w:hideMark/>
          </w:tcPr>
          <w:p w14:paraId="5F5951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84,91</w:t>
            </w:r>
          </w:p>
        </w:tc>
        <w:tc>
          <w:tcPr>
            <w:tcW w:w="2553" w:type="dxa"/>
            <w:noWrap/>
            <w:hideMark/>
          </w:tcPr>
          <w:p w14:paraId="009716C1"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%17</w:t>
            </w:r>
          </w:p>
        </w:tc>
      </w:tr>
      <w:tr w:rsidR="00227E13" w:rsidRPr="00AE18B8" w14:paraId="449AE9EE"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21982C6"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İtalya</w:t>
            </w:r>
          </w:p>
        </w:tc>
        <w:tc>
          <w:tcPr>
            <w:tcW w:w="1899" w:type="dxa"/>
            <w:noWrap/>
            <w:hideMark/>
          </w:tcPr>
          <w:p w14:paraId="77BAA50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w:t>
            </w:r>
          </w:p>
        </w:tc>
        <w:tc>
          <w:tcPr>
            <w:tcW w:w="2148" w:type="dxa"/>
            <w:noWrap/>
            <w:hideMark/>
          </w:tcPr>
          <w:p w14:paraId="4E59886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31,63</w:t>
            </w:r>
          </w:p>
        </w:tc>
        <w:tc>
          <w:tcPr>
            <w:tcW w:w="2553" w:type="dxa"/>
            <w:noWrap/>
            <w:hideMark/>
          </w:tcPr>
          <w:p w14:paraId="5BD2E4A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%6,3</w:t>
            </w:r>
          </w:p>
        </w:tc>
      </w:tr>
      <w:tr w:rsidR="008B2F98" w:rsidRPr="00AE18B8" w14:paraId="5450E1A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060D34B1"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Almanya</w:t>
            </w:r>
          </w:p>
        </w:tc>
        <w:tc>
          <w:tcPr>
            <w:tcW w:w="1899" w:type="dxa"/>
            <w:noWrap/>
            <w:hideMark/>
          </w:tcPr>
          <w:p w14:paraId="43AB2CFD"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18E9B2B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7,00</w:t>
            </w:r>
          </w:p>
        </w:tc>
        <w:tc>
          <w:tcPr>
            <w:tcW w:w="2553" w:type="dxa"/>
            <w:noWrap/>
            <w:hideMark/>
          </w:tcPr>
          <w:p w14:paraId="5879D0E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%1,4</w:t>
            </w:r>
          </w:p>
        </w:tc>
      </w:tr>
      <w:tr w:rsidR="00227E13" w:rsidRPr="00AE18B8" w14:paraId="22A19F9D"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ED7712"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İspanya</w:t>
            </w:r>
          </w:p>
        </w:tc>
        <w:tc>
          <w:tcPr>
            <w:tcW w:w="1899" w:type="dxa"/>
            <w:noWrap/>
            <w:hideMark/>
          </w:tcPr>
          <w:p w14:paraId="59FDB83E"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w:t>
            </w:r>
          </w:p>
        </w:tc>
        <w:tc>
          <w:tcPr>
            <w:tcW w:w="2148" w:type="dxa"/>
            <w:noWrap/>
            <w:hideMark/>
          </w:tcPr>
          <w:p w14:paraId="7592000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59,37</w:t>
            </w:r>
          </w:p>
        </w:tc>
        <w:tc>
          <w:tcPr>
            <w:tcW w:w="2553" w:type="dxa"/>
            <w:noWrap/>
            <w:hideMark/>
          </w:tcPr>
          <w:p w14:paraId="7D18271E"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%11,9</w:t>
            </w:r>
          </w:p>
        </w:tc>
      </w:tr>
      <w:tr w:rsidR="008B2F98" w:rsidRPr="00AE18B8" w14:paraId="4C54A76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D750B4D"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Diğer Avrupa</w:t>
            </w:r>
          </w:p>
        </w:tc>
        <w:tc>
          <w:tcPr>
            <w:tcW w:w="1899" w:type="dxa"/>
            <w:noWrap/>
            <w:hideMark/>
          </w:tcPr>
          <w:p w14:paraId="7E3F44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w:t>
            </w:r>
          </w:p>
        </w:tc>
        <w:tc>
          <w:tcPr>
            <w:tcW w:w="2148" w:type="dxa"/>
            <w:noWrap/>
            <w:hideMark/>
          </w:tcPr>
          <w:p w14:paraId="5C326B9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45,07</w:t>
            </w:r>
          </w:p>
        </w:tc>
        <w:tc>
          <w:tcPr>
            <w:tcW w:w="2553" w:type="dxa"/>
            <w:noWrap/>
            <w:hideMark/>
          </w:tcPr>
          <w:p w14:paraId="15572C8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%9</w:t>
            </w:r>
          </w:p>
        </w:tc>
      </w:tr>
      <w:tr w:rsidR="00227E13" w:rsidRPr="00AE18B8" w14:paraId="49B49D4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6A75BF5"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Japonya</w:t>
            </w:r>
          </w:p>
        </w:tc>
        <w:tc>
          <w:tcPr>
            <w:tcW w:w="1899" w:type="dxa"/>
            <w:noWrap/>
            <w:hideMark/>
          </w:tcPr>
          <w:p w14:paraId="3D7FA6A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10</w:t>
            </w:r>
          </w:p>
        </w:tc>
        <w:tc>
          <w:tcPr>
            <w:tcW w:w="2148" w:type="dxa"/>
            <w:noWrap/>
            <w:hideMark/>
          </w:tcPr>
          <w:p w14:paraId="6529875F"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18,13</w:t>
            </w:r>
          </w:p>
        </w:tc>
        <w:tc>
          <w:tcPr>
            <w:tcW w:w="2553" w:type="dxa"/>
            <w:noWrap/>
            <w:hideMark/>
          </w:tcPr>
          <w:p w14:paraId="053B2986"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%3,6</w:t>
            </w:r>
          </w:p>
        </w:tc>
      </w:tr>
      <w:tr w:rsidR="008B2F98" w:rsidRPr="00AE18B8" w14:paraId="2D4A3AD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102449F"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Çin</w:t>
            </w:r>
          </w:p>
        </w:tc>
        <w:tc>
          <w:tcPr>
            <w:tcW w:w="1899" w:type="dxa"/>
            <w:noWrap/>
            <w:hideMark/>
          </w:tcPr>
          <w:p w14:paraId="3F0F58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81</w:t>
            </w:r>
          </w:p>
        </w:tc>
        <w:tc>
          <w:tcPr>
            <w:tcW w:w="2148" w:type="dxa"/>
            <w:noWrap/>
            <w:hideMark/>
          </w:tcPr>
          <w:p w14:paraId="4AC17265"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122,96</w:t>
            </w:r>
          </w:p>
        </w:tc>
        <w:tc>
          <w:tcPr>
            <w:tcW w:w="2553" w:type="dxa"/>
            <w:noWrap/>
            <w:hideMark/>
          </w:tcPr>
          <w:p w14:paraId="7A4E6A20"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%24,6</w:t>
            </w:r>
          </w:p>
        </w:tc>
      </w:tr>
      <w:tr w:rsidR="00227E13" w:rsidRPr="00AE18B8" w14:paraId="169A21A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3C1508F"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Kore</w:t>
            </w:r>
          </w:p>
        </w:tc>
        <w:tc>
          <w:tcPr>
            <w:tcW w:w="1899" w:type="dxa"/>
            <w:noWrap/>
            <w:hideMark/>
          </w:tcPr>
          <w:p w14:paraId="7A3C45BA"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w:t>
            </w:r>
          </w:p>
        </w:tc>
        <w:tc>
          <w:tcPr>
            <w:tcW w:w="2148" w:type="dxa"/>
            <w:noWrap/>
            <w:hideMark/>
          </w:tcPr>
          <w:p w14:paraId="754BF13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34,17</w:t>
            </w:r>
          </w:p>
        </w:tc>
        <w:tc>
          <w:tcPr>
            <w:tcW w:w="2553" w:type="dxa"/>
            <w:noWrap/>
            <w:hideMark/>
          </w:tcPr>
          <w:p w14:paraId="7D71ECE6"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%6,8</w:t>
            </w:r>
          </w:p>
        </w:tc>
      </w:tr>
      <w:tr w:rsidR="008B2F98" w:rsidRPr="00AE18B8" w14:paraId="0DF1EF9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208CA85"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Türkiye (*)</w:t>
            </w:r>
          </w:p>
        </w:tc>
        <w:tc>
          <w:tcPr>
            <w:tcW w:w="1899" w:type="dxa"/>
            <w:noWrap/>
            <w:hideMark/>
          </w:tcPr>
          <w:p w14:paraId="164E308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43</w:t>
            </w:r>
          </w:p>
        </w:tc>
        <w:tc>
          <w:tcPr>
            <w:tcW w:w="2148" w:type="dxa"/>
            <w:noWrap/>
            <w:hideMark/>
          </w:tcPr>
          <w:p w14:paraId="50A8673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18,48</w:t>
            </w:r>
          </w:p>
        </w:tc>
        <w:tc>
          <w:tcPr>
            <w:tcW w:w="2553" w:type="dxa"/>
            <w:noWrap/>
            <w:hideMark/>
          </w:tcPr>
          <w:p w14:paraId="678C56F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%3,7</w:t>
            </w:r>
          </w:p>
        </w:tc>
      </w:tr>
      <w:tr w:rsidR="00227E13" w:rsidRPr="00AE18B8" w14:paraId="7F85546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58253B9"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Hindistan</w:t>
            </w:r>
          </w:p>
        </w:tc>
        <w:tc>
          <w:tcPr>
            <w:tcW w:w="1899" w:type="dxa"/>
            <w:noWrap/>
            <w:hideMark/>
          </w:tcPr>
          <w:p w14:paraId="43D2931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w:t>
            </w:r>
          </w:p>
        </w:tc>
        <w:tc>
          <w:tcPr>
            <w:tcW w:w="2148" w:type="dxa"/>
            <w:noWrap/>
            <w:hideMark/>
          </w:tcPr>
          <w:p w14:paraId="0061734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8,62</w:t>
            </w:r>
          </w:p>
        </w:tc>
        <w:tc>
          <w:tcPr>
            <w:tcW w:w="2553" w:type="dxa"/>
            <w:noWrap/>
            <w:hideMark/>
          </w:tcPr>
          <w:p w14:paraId="35906527"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%1,7</w:t>
            </w:r>
          </w:p>
        </w:tc>
      </w:tr>
      <w:tr w:rsidR="008B2F98" w:rsidRPr="00AE18B8" w14:paraId="03F2F63B"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9039D01"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 xml:space="preserve">Diğer </w:t>
            </w:r>
          </w:p>
        </w:tc>
        <w:tc>
          <w:tcPr>
            <w:tcW w:w="1899" w:type="dxa"/>
            <w:noWrap/>
            <w:hideMark/>
          </w:tcPr>
          <w:p w14:paraId="5AAB0202"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15</w:t>
            </w:r>
          </w:p>
        </w:tc>
        <w:tc>
          <w:tcPr>
            <w:tcW w:w="2148" w:type="dxa"/>
            <w:noWrap/>
            <w:hideMark/>
          </w:tcPr>
          <w:p w14:paraId="6D78EDF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13,04</w:t>
            </w:r>
          </w:p>
        </w:tc>
        <w:tc>
          <w:tcPr>
            <w:tcW w:w="2553" w:type="dxa"/>
            <w:noWrap/>
            <w:hideMark/>
          </w:tcPr>
          <w:p w14:paraId="534E7533"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%2,6</w:t>
            </w:r>
          </w:p>
        </w:tc>
      </w:tr>
      <w:tr w:rsidR="00227E13" w:rsidRPr="00AE18B8" w14:paraId="6803847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1ADCDA9A"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TOPLAM</w:t>
            </w:r>
          </w:p>
        </w:tc>
        <w:tc>
          <w:tcPr>
            <w:tcW w:w="1899" w:type="dxa"/>
            <w:noWrap/>
          </w:tcPr>
          <w:p w14:paraId="25BAFD0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250</w:t>
            </w:r>
          </w:p>
        </w:tc>
        <w:tc>
          <w:tcPr>
            <w:tcW w:w="2148" w:type="dxa"/>
            <w:noWrap/>
          </w:tcPr>
          <w:p w14:paraId="11896FB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499,62</w:t>
            </w:r>
          </w:p>
        </w:tc>
        <w:tc>
          <w:tcPr>
            <w:tcW w:w="2553" w:type="dxa"/>
            <w:noWrap/>
          </w:tcPr>
          <w:p w14:paraId="608EF96C"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%100</w:t>
            </w:r>
          </w:p>
        </w:tc>
      </w:tr>
    </w:tbl>
    <w:bookmarkEnd w:id="8"/>
    <w:p w14:paraId="7EBD2B34" w14:textId="77777777" w:rsidR="00FD57E7" w:rsidRPr="00F603EA"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F603EA">
        <w:rPr>
          <w:rFonts w:ascii="Times New Roman" w:hAnsi="Times New Roman" w:cs="Times New Roman"/>
          <w:b/>
          <w:sz w:val="24"/>
          <w:szCs w:val="24"/>
        </w:rPr>
        <w:lastRenderedPageBreak/>
        <w:t xml:space="preserve">SEKTÖRÜN HEDEFLERİ </w:t>
      </w:r>
    </w:p>
    <w:p w14:paraId="3A2F6393" w14:textId="77777777" w:rsidR="00F603EA" w:rsidRPr="00F603EA" w:rsidRDefault="00F603EA" w:rsidP="00F603EA">
      <w:pPr>
        <w:spacing w:after="0" w:line="240" w:lineRule="auto"/>
        <w:jc w:val="both"/>
        <w:rPr>
          <w:rFonts w:ascii="Times New Roman" w:hAnsi="Times New Roman" w:cs="Times New Roman"/>
          <w:b/>
          <w:sz w:val="24"/>
          <w:szCs w:val="24"/>
        </w:rPr>
      </w:pPr>
    </w:p>
    <w:p w14:paraId="470BD7A4" w14:textId="77777777" w:rsidR="00F747B2" w:rsidRDefault="006F0CB6"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Türk müteahhitlerinin yurt </w:t>
      </w:r>
      <w:r w:rsidR="00FD57E7" w:rsidRPr="00FD57E7">
        <w:rPr>
          <w:rFonts w:ascii="Times New Roman" w:hAnsi="Times New Roman" w:cs="Times New Roman"/>
          <w:sz w:val="24"/>
          <w:szCs w:val="24"/>
        </w:rPr>
        <w:t xml:space="preserve">dışında üstlendikleri iş hacmi 2006 yılından bu yana istikrarlı olarak 20 milyar </w:t>
      </w:r>
      <w:r w:rsidR="00F747B2">
        <w:rPr>
          <w:rFonts w:ascii="Times New Roman" w:hAnsi="Times New Roman" w:cs="Times New Roman"/>
          <w:sz w:val="24"/>
          <w:szCs w:val="24"/>
        </w:rPr>
        <w:t xml:space="preserve">doların üstünde seyretmiştir. Bununla birlikte, dünya konjonktürü kapsamında geleneksel pazarlarımızda yaşanan gelişmelere bağlı olarak </w:t>
      </w:r>
      <w:r w:rsidR="0036380E">
        <w:rPr>
          <w:rFonts w:ascii="Times New Roman" w:hAnsi="Times New Roman" w:cs="Times New Roman"/>
          <w:sz w:val="24"/>
          <w:szCs w:val="24"/>
        </w:rPr>
        <w:t xml:space="preserve">bazı yıllarda bu rakam 15-20 milyar dolar arasında gerçekleşmiştir. </w:t>
      </w:r>
      <w:r w:rsidR="00FD57E7" w:rsidRPr="00FD57E7">
        <w:rPr>
          <w:rFonts w:ascii="Times New Roman" w:hAnsi="Times New Roman" w:cs="Times New Roman"/>
          <w:sz w:val="24"/>
          <w:szCs w:val="24"/>
        </w:rPr>
        <w:t>Türk müteahh</w:t>
      </w:r>
      <w:r w:rsidR="00F747B2">
        <w:rPr>
          <w:rFonts w:ascii="Times New Roman" w:hAnsi="Times New Roman" w:cs="Times New Roman"/>
          <w:sz w:val="24"/>
          <w:szCs w:val="24"/>
        </w:rPr>
        <w:t>itlik firmalarının geleneksel pazarla</w:t>
      </w:r>
      <w:r w:rsidR="00A66961">
        <w:rPr>
          <w:rFonts w:ascii="Times New Roman" w:hAnsi="Times New Roman" w:cs="Times New Roman"/>
          <w:sz w:val="24"/>
          <w:szCs w:val="24"/>
        </w:rPr>
        <w:t>rı</w:t>
      </w:r>
      <w:r w:rsidR="00F747B2">
        <w:rPr>
          <w:rFonts w:ascii="Times New Roman" w:hAnsi="Times New Roman" w:cs="Times New Roman"/>
          <w:sz w:val="24"/>
          <w:szCs w:val="24"/>
        </w:rPr>
        <w:t xml:space="preserve"> olan </w:t>
      </w:r>
      <w:r w:rsidR="00FD57E7" w:rsidRPr="00FD57E7">
        <w:rPr>
          <w:rFonts w:ascii="Times New Roman" w:hAnsi="Times New Roman" w:cs="Times New Roman"/>
          <w:sz w:val="24"/>
          <w:szCs w:val="24"/>
        </w:rPr>
        <w:t>BDT</w:t>
      </w:r>
      <w:r w:rsidR="00A66961">
        <w:rPr>
          <w:rFonts w:ascii="Times New Roman" w:hAnsi="Times New Roman" w:cs="Times New Roman"/>
          <w:sz w:val="24"/>
          <w:szCs w:val="24"/>
        </w:rPr>
        <w:t xml:space="preserve">, </w:t>
      </w:r>
      <w:r w:rsidR="00FD57E7" w:rsidRPr="00FD57E7">
        <w:rPr>
          <w:rFonts w:ascii="Times New Roman" w:hAnsi="Times New Roman" w:cs="Times New Roman"/>
          <w:sz w:val="24"/>
          <w:szCs w:val="24"/>
        </w:rPr>
        <w:t>Orta Doğu-Körfe</w:t>
      </w:r>
      <w:r w:rsidR="00F747B2">
        <w:rPr>
          <w:rFonts w:ascii="Times New Roman" w:hAnsi="Times New Roman" w:cs="Times New Roman"/>
          <w:sz w:val="24"/>
          <w:szCs w:val="24"/>
        </w:rPr>
        <w:t>z ve Kuzey Afrika coğrafyalarının yanı</w:t>
      </w:r>
      <w:r w:rsidR="00A65A12">
        <w:rPr>
          <w:rFonts w:ascii="Times New Roman" w:hAnsi="Times New Roman" w:cs="Times New Roman"/>
          <w:sz w:val="24"/>
          <w:szCs w:val="24"/>
        </w:rPr>
        <w:t xml:space="preserve"> </w:t>
      </w:r>
      <w:r w:rsidR="00F747B2">
        <w:rPr>
          <w:rFonts w:ascii="Times New Roman" w:hAnsi="Times New Roman" w:cs="Times New Roman"/>
          <w:sz w:val="24"/>
          <w:szCs w:val="24"/>
        </w:rPr>
        <w:t>sıra, etkin olduğumuz</w:t>
      </w:r>
      <w:r w:rsidR="0036380E">
        <w:rPr>
          <w:rFonts w:ascii="Times New Roman" w:hAnsi="Times New Roman" w:cs="Times New Roman"/>
          <w:sz w:val="24"/>
          <w:szCs w:val="24"/>
        </w:rPr>
        <w:t xml:space="preserve"> coğrafyalara Sahra-altı Afrika</w:t>
      </w:r>
      <w:r w:rsidR="00A66961">
        <w:rPr>
          <w:rFonts w:ascii="Times New Roman" w:hAnsi="Times New Roman" w:cs="Times New Roman"/>
          <w:sz w:val="24"/>
          <w:szCs w:val="24"/>
        </w:rPr>
        <w:t xml:space="preserve"> ve</w:t>
      </w:r>
      <w:r w:rsidR="0036380E">
        <w:rPr>
          <w:rFonts w:ascii="Times New Roman" w:hAnsi="Times New Roman" w:cs="Times New Roman"/>
          <w:sz w:val="24"/>
          <w:szCs w:val="24"/>
        </w:rPr>
        <w:t xml:space="preserve"> Avrupa</w:t>
      </w:r>
      <w:r w:rsidR="009127B4">
        <w:rPr>
          <w:rFonts w:ascii="Times New Roman" w:hAnsi="Times New Roman" w:cs="Times New Roman"/>
          <w:sz w:val="24"/>
          <w:szCs w:val="24"/>
        </w:rPr>
        <w:t xml:space="preserve"> ülkeleri</w:t>
      </w:r>
      <w:r w:rsidR="0036380E">
        <w:rPr>
          <w:rFonts w:ascii="Times New Roman" w:hAnsi="Times New Roman" w:cs="Times New Roman"/>
          <w:sz w:val="24"/>
          <w:szCs w:val="24"/>
        </w:rPr>
        <w:t xml:space="preserve"> </w:t>
      </w:r>
      <w:r w:rsidR="00A66961">
        <w:rPr>
          <w:rFonts w:ascii="Times New Roman" w:hAnsi="Times New Roman" w:cs="Times New Roman"/>
          <w:sz w:val="24"/>
          <w:szCs w:val="24"/>
        </w:rPr>
        <w:t>eklenmeye başlamıştır</w:t>
      </w:r>
      <w:r w:rsidR="00F747B2">
        <w:rPr>
          <w:rFonts w:ascii="Times New Roman" w:hAnsi="Times New Roman" w:cs="Times New Roman"/>
          <w:sz w:val="24"/>
          <w:szCs w:val="24"/>
        </w:rPr>
        <w:t>.</w:t>
      </w:r>
      <w:r w:rsidR="00F51E79">
        <w:rPr>
          <w:rFonts w:ascii="Times New Roman" w:hAnsi="Times New Roman" w:cs="Times New Roman"/>
          <w:sz w:val="24"/>
          <w:szCs w:val="24"/>
        </w:rPr>
        <w:t xml:space="preserve"> </w:t>
      </w:r>
      <w:r w:rsidR="009127B4">
        <w:rPr>
          <w:rFonts w:ascii="Times New Roman" w:hAnsi="Times New Roman" w:cs="Times New Roman"/>
          <w:sz w:val="24"/>
          <w:szCs w:val="24"/>
        </w:rPr>
        <w:t>Müteahhitlik şirketlerimiz fırsat ve riskleri değerlendirerek dünyanın hemen hemen her ülkesinde proje yürütebilecek düzey</w:t>
      </w:r>
      <w:r w:rsidR="00BD0FF6">
        <w:rPr>
          <w:rFonts w:ascii="Times New Roman" w:hAnsi="Times New Roman" w:cs="Times New Roman"/>
          <w:sz w:val="24"/>
          <w:szCs w:val="24"/>
        </w:rPr>
        <w:t xml:space="preserve">i yakalamıştır. 137 ülkede proje üstlenilmiştir. </w:t>
      </w:r>
    </w:p>
    <w:p w14:paraId="2C5C953B" w14:textId="77777777" w:rsidR="00F603EA" w:rsidRDefault="00F603EA" w:rsidP="00BB5CFD">
      <w:pPr>
        <w:spacing w:after="0" w:line="240" w:lineRule="auto"/>
        <w:jc w:val="both"/>
        <w:rPr>
          <w:rFonts w:ascii="Times New Roman" w:hAnsi="Times New Roman" w:cs="Times New Roman"/>
          <w:sz w:val="24"/>
          <w:szCs w:val="24"/>
        </w:rPr>
      </w:pPr>
    </w:p>
    <w:p w14:paraId="76D5CC6D" w14:textId="77777777" w:rsidR="00F51E79" w:rsidRDefault="006C4CE5"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Sektörün en önemli hedefleri arasında bulunan pazar çeşitlendirmesi noktasında önemli bir ilerleme kaydedilmiş olduğundan bahsetmek mümkündür. </w:t>
      </w:r>
      <w:r w:rsidR="00F51E79">
        <w:rPr>
          <w:rFonts w:ascii="Times New Roman" w:hAnsi="Times New Roman" w:cs="Times New Roman"/>
          <w:sz w:val="24"/>
          <w:szCs w:val="24"/>
        </w:rPr>
        <w:t>Son yıllarda yaşanan kriz ve belirsizliklere rağmen iki sene üst üste 28 milyar sevilerinin yakalanması şirketlerimizin esneklik ve adaptasyon kabiliyetlerinin yüksek olduğunu</w:t>
      </w:r>
      <w:r>
        <w:rPr>
          <w:rFonts w:ascii="Times New Roman" w:hAnsi="Times New Roman" w:cs="Times New Roman"/>
          <w:sz w:val="24"/>
          <w:szCs w:val="24"/>
        </w:rPr>
        <w:t>n bir</w:t>
      </w:r>
      <w:r w:rsidR="00F51E79">
        <w:rPr>
          <w:rFonts w:ascii="Times New Roman" w:hAnsi="Times New Roman" w:cs="Times New Roman"/>
          <w:sz w:val="24"/>
          <w:szCs w:val="24"/>
        </w:rPr>
        <w:t xml:space="preserve"> göster</w:t>
      </w:r>
      <w:r>
        <w:rPr>
          <w:rFonts w:ascii="Times New Roman" w:hAnsi="Times New Roman" w:cs="Times New Roman"/>
          <w:sz w:val="24"/>
          <w:szCs w:val="24"/>
        </w:rPr>
        <w:t>gesidir</w:t>
      </w:r>
      <w:r w:rsidR="00F51E79">
        <w:rPr>
          <w:rFonts w:ascii="Times New Roman" w:hAnsi="Times New Roman" w:cs="Times New Roman"/>
          <w:sz w:val="24"/>
          <w:szCs w:val="24"/>
        </w:rPr>
        <w:t xml:space="preserve">. Konjonktürel gelişmelere karşısında sektör hızla aksiyon almakta farklı pazarlara farklı zamanlarda ağırlık verebilmektedir. </w:t>
      </w:r>
      <w:r w:rsidR="008A6698">
        <w:rPr>
          <w:rFonts w:ascii="Times New Roman" w:hAnsi="Times New Roman" w:cs="Times New Roman"/>
          <w:sz w:val="24"/>
          <w:szCs w:val="24"/>
        </w:rPr>
        <w:t xml:space="preserve">Örneğin, </w:t>
      </w:r>
      <w:r w:rsidR="00F51E79">
        <w:rPr>
          <w:rFonts w:ascii="Times New Roman" w:hAnsi="Times New Roman" w:cs="Times New Roman"/>
          <w:sz w:val="24"/>
          <w:szCs w:val="24"/>
        </w:rPr>
        <w:t>Rusya pazarı daralırken, S. Arabistan ve Irak ile yakalanan sıcak ilişkiler ile bu pazarlar alternatif olarak değerlendirilmiştir. Avrupa</w:t>
      </w:r>
      <w:r>
        <w:rPr>
          <w:rFonts w:ascii="Times New Roman" w:hAnsi="Times New Roman" w:cs="Times New Roman"/>
          <w:sz w:val="24"/>
          <w:szCs w:val="24"/>
        </w:rPr>
        <w:t xml:space="preserve"> pazarında özellikle Romanya ve Polonya’da şirketlerimiz başarı işler yürütmektedir.</w:t>
      </w:r>
      <w:r w:rsidR="00F51E79">
        <w:rPr>
          <w:rFonts w:ascii="Times New Roman" w:hAnsi="Times New Roman" w:cs="Times New Roman"/>
          <w:sz w:val="24"/>
          <w:szCs w:val="24"/>
        </w:rPr>
        <w:t xml:space="preserve"> </w:t>
      </w:r>
      <w:r>
        <w:rPr>
          <w:rFonts w:ascii="Times New Roman" w:hAnsi="Times New Roman" w:cs="Times New Roman"/>
          <w:sz w:val="24"/>
          <w:szCs w:val="24"/>
        </w:rPr>
        <w:t xml:space="preserve">Bu noktada, </w:t>
      </w:r>
      <w:r w:rsidR="00406324">
        <w:rPr>
          <w:rFonts w:ascii="Times New Roman" w:hAnsi="Times New Roman" w:cs="Times New Roman"/>
          <w:sz w:val="24"/>
          <w:szCs w:val="24"/>
        </w:rPr>
        <w:t xml:space="preserve">Bakanlığımızın desteğiyle </w:t>
      </w:r>
      <w:r w:rsidRPr="006C4CE5">
        <w:rPr>
          <w:rFonts w:ascii="Times New Roman" w:hAnsi="Times New Roman" w:cs="Times New Roman"/>
          <w:sz w:val="24"/>
          <w:szCs w:val="24"/>
        </w:rPr>
        <w:t xml:space="preserve">sektör kuruluşları ile eşgüdüm içerisinde </w:t>
      </w:r>
      <w:r>
        <w:rPr>
          <w:rFonts w:ascii="Times New Roman" w:hAnsi="Times New Roman" w:cs="Times New Roman"/>
          <w:sz w:val="24"/>
          <w:szCs w:val="24"/>
        </w:rPr>
        <w:t xml:space="preserve">ülkeler arası </w:t>
      </w:r>
      <w:r w:rsidR="00406324">
        <w:rPr>
          <w:rFonts w:ascii="Times New Roman" w:hAnsi="Times New Roman" w:cs="Times New Roman"/>
          <w:sz w:val="24"/>
          <w:szCs w:val="24"/>
        </w:rPr>
        <w:t xml:space="preserve">ticari </w:t>
      </w:r>
      <w:r>
        <w:rPr>
          <w:rFonts w:ascii="Times New Roman" w:hAnsi="Times New Roman" w:cs="Times New Roman"/>
          <w:sz w:val="24"/>
          <w:szCs w:val="24"/>
        </w:rPr>
        <w:t>ilişkilerin geliştirilmesi</w:t>
      </w:r>
      <w:r w:rsidR="00406324">
        <w:rPr>
          <w:rFonts w:ascii="Times New Roman" w:hAnsi="Times New Roman" w:cs="Times New Roman"/>
          <w:sz w:val="24"/>
          <w:szCs w:val="24"/>
        </w:rPr>
        <w:t>ne</w:t>
      </w:r>
      <w:r>
        <w:rPr>
          <w:rFonts w:ascii="Times New Roman" w:hAnsi="Times New Roman" w:cs="Times New Roman"/>
          <w:sz w:val="24"/>
          <w:szCs w:val="24"/>
        </w:rPr>
        <w:t xml:space="preserve"> </w:t>
      </w:r>
      <w:r w:rsidR="00406324">
        <w:rPr>
          <w:rFonts w:ascii="Times New Roman" w:hAnsi="Times New Roman" w:cs="Times New Roman"/>
          <w:sz w:val="24"/>
          <w:szCs w:val="24"/>
        </w:rPr>
        <w:t xml:space="preserve">çalışılmakta ve </w:t>
      </w:r>
      <w:r>
        <w:rPr>
          <w:rFonts w:ascii="Times New Roman" w:hAnsi="Times New Roman" w:cs="Times New Roman"/>
          <w:sz w:val="24"/>
          <w:szCs w:val="24"/>
        </w:rPr>
        <w:t>buna yönelik olarak ticaret diplomasisi araçları</w:t>
      </w:r>
      <w:r w:rsidR="00406324">
        <w:rPr>
          <w:rFonts w:ascii="Times New Roman" w:hAnsi="Times New Roman" w:cs="Times New Roman"/>
          <w:sz w:val="24"/>
          <w:szCs w:val="24"/>
        </w:rPr>
        <w:t xml:space="preserve"> (heyetler, ikili anlaşmalar, sektörel seminer ve konferanslar vb.) etkin bir şekilde kullanılmaktadır. </w:t>
      </w:r>
    </w:p>
    <w:p w14:paraId="03106331" w14:textId="77777777" w:rsidR="00F603EA" w:rsidRPr="00FD57E7" w:rsidRDefault="00F603EA" w:rsidP="00BB5CFD">
      <w:pPr>
        <w:spacing w:after="0" w:line="240" w:lineRule="auto"/>
        <w:jc w:val="both"/>
        <w:rPr>
          <w:rFonts w:ascii="Times New Roman" w:hAnsi="Times New Roman" w:cs="Times New Roman"/>
          <w:sz w:val="24"/>
          <w:szCs w:val="24"/>
        </w:rPr>
      </w:pPr>
    </w:p>
    <w:p w14:paraId="26BA105D" w14:textId="77777777" w:rsidR="00F6006A"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Bir başka hedef ise Türk müteahhitlik firmalarının katma değeri yüksek projelerde yer almasının temin edilmesidir. Özellikle firma ölçeklerinin büyütülmesi ile firmalarımızın ortak iş yapma bilincinin artırılması değerli ve prestijli projelerin üstlenilmesinin yolunu açacaktır. Bunun sonucunda firmalarımız uluslararası pazarlarda daha sağlam bir şekilde yer alacaktır.</w:t>
      </w:r>
    </w:p>
    <w:p w14:paraId="4B129727" w14:textId="77777777" w:rsidR="00F603EA" w:rsidRPr="00FD57E7" w:rsidRDefault="00F603EA" w:rsidP="00BB5CFD">
      <w:pPr>
        <w:spacing w:after="0" w:line="240" w:lineRule="auto"/>
        <w:jc w:val="both"/>
        <w:rPr>
          <w:rFonts w:ascii="Times New Roman" w:hAnsi="Times New Roman" w:cs="Times New Roman"/>
          <w:sz w:val="24"/>
          <w:szCs w:val="24"/>
        </w:rPr>
      </w:pPr>
    </w:p>
    <w:p w14:paraId="233D9C12" w14:textId="77777777" w:rsidR="00FD57E7" w:rsidRPr="00F603EA"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F603EA">
        <w:rPr>
          <w:rFonts w:ascii="Times New Roman" w:hAnsi="Times New Roman" w:cs="Times New Roman"/>
          <w:b/>
          <w:sz w:val="24"/>
          <w:szCs w:val="24"/>
        </w:rPr>
        <w:t xml:space="preserve">SEKTÖRÜN EKONOMİYE ETKİSİ </w:t>
      </w:r>
    </w:p>
    <w:p w14:paraId="0D991D68" w14:textId="77777777" w:rsidR="00F603EA" w:rsidRPr="00F603EA" w:rsidRDefault="00F603EA" w:rsidP="00F603EA">
      <w:pPr>
        <w:spacing w:after="0" w:line="240" w:lineRule="auto"/>
        <w:jc w:val="both"/>
        <w:rPr>
          <w:rFonts w:ascii="Times New Roman" w:hAnsi="Times New Roman" w:cs="Times New Roman"/>
          <w:b/>
          <w:sz w:val="24"/>
          <w:szCs w:val="24"/>
        </w:rPr>
      </w:pPr>
    </w:p>
    <w:p w14:paraId="4609E178" w14:textId="77777777" w:rsidR="00FD57E7" w:rsidRDefault="006F0CB6"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Yurt D</w:t>
      </w:r>
      <w:r w:rsidR="00FD57E7" w:rsidRPr="00FD57E7">
        <w:rPr>
          <w:rFonts w:ascii="Times New Roman" w:hAnsi="Times New Roman" w:cs="Times New Roman"/>
          <w:sz w:val="24"/>
          <w:szCs w:val="24"/>
        </w:rPr>
        <w:t xml:space="preserve">ışı Müteahhitlik Hizmetleri Sektörünün rekabet gücüne, milli gelire, ödemeler dengesine, ihracata ve istihdama sağladığı katkı ve sürdürülebilir büyüme açısından önemi dikkate alındığında, ülke ekonomisinin lokomotif sektörlerinden biri olduğu müşahede edilmektedir. Yurt Dışı Müteahhitlik Hizmetleri Sektörünün Türk ekonomisine doğrudan ve dolaylı katkısını 6 ana başlık altında özetlemek mümkündür: </w:t>
      </w:r>
      <w:r w:rsidR="00FD57E7" w:rsidRPr="00A219F4">
        <w:rPr>
          <w:rFonts w:ascii="Times New Roman" w:hAnsi="Times New Roman" w:cs="Times New Roman"/>
          <w:sz w:val="24"/>
          <w:szCs w:val="24"/>
        </w:rPr>
        <w:t>Döviz girdisi, ihracata katkısı, istihdama katkısı, teknoloji transferi, makine parkına etkisi, dışa açılma sürecine etkisi</w:t>
      </w:r>
      <w:r w:rsidR="00FD57E7" w:rsidRPr="00FD57E7">
        <w:rPr>
          <w:rFonts w:ascii="Times New Roman" w:hAnsi="Times New Roman" w:cs="Times New Roman"/>
          <w:sz w:val="24"/>
          <w:szCs w:val="24"/>
        </w:rPr>
        <w:t xml:space="preserve">. </w:t>
      </w:r>
    </w:p>
    <w:p w14:paraId="041B8566" w14:textId="77777777" w:rsidR="00F603EA" w:rsidRPr="00FD57E7" w:rsidRDefault="00F603EA" w:rsidP="00BB5CFD">
      <w:pPr>
        <w:spacing w:after="0" w:line="240" w:lineRule="auto"/>
        <w:jc w:val="both"/>
        <w:rPr>
          <w:rFonts w:ascii="Times New Roman" w:hAnsi="Times New Roman" w:cs="Times New Roman"/>
          <w:sz w:val="24"/>
          <w:szCs w:val="24"/>
        </w:rPr>
      </w:pPr>
    </w:p>
    <w:p w14:paraId="2ED95480" w14:textId="6649344B" w:rsidR="00816EFC" w:rsidRPr="00C66D58"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Ülkemize net döviz girdisi sağlayan ve önemli hizme</w:t>
      </w:r>
      <w:r w:rsidR="006F0CB6">
        <w:rPr>
          <w:rFonts w:ascii="Times New Roman" w:hAnsi="Times New Roman" w:cs="Times New Roman"/>
          <w:sz w:val="24"/>
          <w:szCs w:val="24"/>
        </w:rPr>
        <w:t xml:space="preserve">t ihraç kalemlerinden olan yurt </w:t>
      </w:r>
      <w:r w:rsidRPr="00FD57E7">
        <w:rPr>
          <w:rFonts w:ascii="Times New Roman" w:hAnsi="Times New Roman" w:cs="Times New Roman"/>
          <w:sz w:val="24"/>
          <w:szCs w:val="24"/>
        </w:rPr>
        <w:t>dışı müteahhitlik hizmetleri sektörü, ödemeler dengesi içerisinde, sadece inşaat kalemi altında değil, lojistik, işçi gelirleri ve ihracat kalemleri altında da ülkemize ciddi gelir kaynakları yaratmaktadır. Sektör, ayrıca, teknoloji transferine imkân sağlamakta olup, makine parkının gelişmesine ve diğer sektörlerin dışa açılmasına katkıda bulunmaktadır.</w:t>
      </w:r>
      <w:bookmarkStart w:id="9" w:name="OLE_LINK10"/>
      <w:bookmarkStart w:id="10" w:name="OLE_LINK9"/>
      <w:r w:rsidR="00BB4A32">
        <w:rPr>
          <w:rFonts w:ascii="Times New Roman" w:hAnsi="Times New Roman" w:cs="Times New Roman"/>
          <w:sz w:val="24"/>
          <w:szCs w:val="24"/>
        </w:rPr>
        <w:t xml:space="preserve"> </w:t>
      </w:r>
      <w:r w:rsidR="00F76613" w:rsidRPr="00A337DB">
        <w:rPr>
          <w:rFonts w:ascii="Times New Roman" w:hAnsi="Times New Roman" w:cs="Times New Roman"/>
          <w:sz w:val="24"/>
          <w:szCs w:val="24"/>
        </w:rPr>
        <w:t>Yurt</w:t>
      </w:r>
      <w:r w:rsidR="006F0CB6">
        <w:rPr>
          <w:rFonts w:ascii="Times New Roman" w:hAnsi="Times New Roman" w:cs="Times New Roman"/>
          <w:sz w:val="24"/>
          <w:szCs w:val="24"/>
        </w:rPr>
        <w:t xml:space="preserve"> </w:t>
      </w:r>
      <w:r w:rsidRPr="00A337DB">
        <w:rPr>
          <w:rFonts w:ascii="Times New Roman" w:hAnsi="Times New Roman" w:cs="Times New Roman"/>
          <w:sz w:val="24"/>
          <w:szCs w:val="24"/>
        </w:rPr>
        <w:t>dışı müteahhitlik sektörü tarafından yoğun olarak faaliyet gösterilen pazarlar inşaat malzemeleri ihracatımızı doğrudan etkilemektedir.</w:t>
      </w:r>
      <w:bookmarkEnd w:id="9"/>
      <w:bookmarkEnd w:id="10"/>
    </w:p>
    <w:sectPr w:rsidR="00816EFC" w:rsidRPr="00C66D58" w:rsidSect="002C1F0A">
      <w:footerReference w:type="default" r:id="rId9"/>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3349" w14:textId="77777777" w:rsidR="00BB7890" w:rsidRDefault="00BB7890" w:rsidP="00F72131">
      <w:pPr>
        <w:spacing w:after="0" w:line="240" w:lineRule="auto"/>
      </w:pPr>
      <w:r>
        <w:separator/>
      </w:r>
    </w:p>
  </w:endnote>
  <w:endnote w:type="continuationSeparator" w:id="0">
    <w:p w14:paraId="613F887F" w14:textId="77777777" w:rsidR="00BB7890" w:rsidRDefault="00BB7890" w:rsidP="00F7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54628"/>
      <w:docPartObj>
        <w:docPartGallery w:val="Page Numbers (Bottom of Page)"/>
        <w:docPartUnique/>
      </w:docPartObj>
    </w:sdtPr>
    <w:sdtEndPr/>
    <w:sdtContent>
      <w:p w14:paraId="6E3FAD6B" w14:textId="77777777" w:rsidR="00280CD2" w:rsidRDefault="00280CD2">
        <w:pPr>
          <w:pStyle w:val="AltBilgi"/>
        </w:pPr>
        <w:r w:rsidRPr="00367319">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510BCD2E" wp14:editId="4CCB4423">
                  <wp:simplePos x="0" y="0"/>
                  <wp:positionH relativeFrom="margin">
                    <wp:align>center</wp:align>
                  </wp:positionH>
                  <wp:positionV relativeFrom="bottomMargin">
                    <wp:align>center</wp:align>
                  </wp:positionV>
                  <wp:extent cx="1282700" cy="343535"/>
                  <wp:effectExtent l="28575" t="19050" r="22225" b="8890"/>
                  <wp:wrapNone/>
                  <wp:docPr id="7" name="Aşağı Bükülmüş Şeri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BCD2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şağı Bükülmüş Şerit 7"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" filled="f" fillcolor="#17365d" strokecolor="#71a0dc">
                  <v:textbo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221C" w14:textId="77777777" w:rsidR="00BB7890" w:rsidRDefault="00BB7890" w:rsidP="00F72131">
      <w:pPr>
        <w:spacing w:after="0" w:line="240" w:lineRule="auto"/>
      </w:pPr>
      <w:r>
        <w:separator/>
      </w:r>
    </w:p>
  </w:footnote>
  <w:footnote w:type="continuationSeparator" w:id="0">
    <w:p w14:paraId="590EEA35" w14:textId="77777777" w:rsidR="00BB7890" w:rsidRDefault="00BB7890" w:rsidP="00F72131">
      <w:pPr>
        <w:spacing w:after="0" w:line="240" w:lineRule="auto"/>
      </w:pPr>
      <w:r>
        <w:continuationSeparator/>
      </w:r>
    </w:p>
  </w:footnote>
  <w:footnote w:id="1">
    <w:p w14:paraId="2D01D82B" w14:textId="77777777" w:rsidR="00280CD2" w:rsidRDefault="00280CD2" w:rsidP="008E5AB9">
      <w:pPr>
        <w:pStyle w:val="DipnotMetni"/>
        <w:jc w:val="both"/>
      </w:pPr>
      <w:r>
        <w:rPr>
          <w:rStyle w:val="DipnotBavurusu"/>
        </w:rPr>
        <w:footnoteRef/>
      </w:r>
      <w:r>
        <w:t xml:space="preserve"> </w:t>
      </w:r>
      <w:r w:rsidRPr="00034492">
        <w:t xml:space="preserve">1874 yılından bu yana yayım yapan ve uluslararası inşaat sektörünün en saygın yayımlarından olan Engineering News Record (ENR) Dergisi, dünyanın önde gelen müteahhitlik firmalarının uluslararası piyasalarda </w:t>
      </w:r>
      <w:r w:rsidRPr="00034492">
        <w:rPr>
          <w:b/>
        </w:rPr>
        <w:t>bir önceki yılda elde ettikleri gelirlere</w:t>
      </w:r>
      <w:r w:rsidRPr="00034492">
        <w:t xml:space="preserve"> göre sıralandığı “ENR En Büyük 250 Yurt Dışı Müteahhitlik Firması Listesi”ni her yıl düzenli olarak yayı</w:t>
      </w:r>
      <w:r>
        <w:t>m</w:t>
      </w:r>
      <w:r w:rsidRPr="00034492">
        <w:t>lamaktadır.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E5C"/>
    <w:multiLevelType w:val="hybridMultilevel"/>
    <w:tmpl w:val="EEDAC1DE"/>
    <w:lvl w:ilvl="0" w:tplc="C3F4085A">
      <w:start w:val="1"/>
      <w:numFmt w:val="decimal"/>
      <w:lvlText w:val="%1."/>
      <w:lvlJc w:val="left"/>
      <w:pPr>
        <w:ind w:left="360" w:hanging="360"/>
      </w:pPr>
      <w:rPr>
        <w:b/>
        <w:sz w:val="24"/>
        <w:szCs w:val="24"/>
      </w:rPr>
    </w:lvl>
    <w:lvl w:ilvl="1" w:tplc="37D8A8BA">
      <w:start w:val="1"/>
      <w:numFmt w:val="lowerLetter"/>
      <w:lvlText w:val="%2."/>
      <w:lvlJc w:val="left"/>
      <w:pPr>
        <w:ind w:left="644" w:hanging="360"/>
      </w:pPr>
      <w:rPr>
        <w:b/>
        <w:i w:val="0"/>
      </w:rPr>
    </w:lvl>
    <w:lvl w:ilvl="2" w:tplc="EE1E7E7A">
      <w:start w:val="1"/>
      <w:numFmt w:val="lowerRoman"/>
      <w:lvlText w:val="%3."/>
      <w:lvlJc w:val="right"/>
      <w:pPr>
        <w:ind w:left="1800" w:hanging="180"/>
      </w:pPr>
      <w:rPr>
        <w:b/>
      </w:rPr>
    </w:lvl>
    <w:lvl w:ilvl="3" w:tplc="01A43468">
      <w:start w:val="5"/>
      <w:numFmt w:val="bullet"/>
      <w:lvlText w:val=""/>
      <w:lvlJc w:val="left"/>
      <w:pPr>
        <w:ind w:left="2520" w:hanging="360"/>
      </w:pPr>
      <w:rPr>
        <w:rFonts w:ascii="Symbol" w:eastAsia="Times New Roman" w:hAnsi="Symbol" w:cs="Times New Roman" w:hint="default"/>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65EF54D2"/>
    <w:multiLevelType w:val="hybridMultilevel"/>
    <w:tmpl w:val="AAE6D2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2A"/>
    <w:rsid w:val="00002AE9"/>
    <w:rsid w:val="00004829"/>
    <w:rsid w:val="00006066"/>
    <w:rsid w:val="000103EC"/>
    <w:rsid w:val="00015CA6"/>
    <w:rsid w:val="000173F6"/>
    <w:rsid w:val="000236DD"/>
    <w:rsid w:val="00023FF0"/>
    <w:rsid w:val="00024D22"/>
    <w:rsid w:val="000262B8"/>
    <w:rsid w:val="000266E2"/>
    <w:rsid w:val="00026B82"/>
    <w:rsid w:val="0003074D"/>
    <w:rsid w:val="00034492"/>
    <w:rsid w:val="00044A47"/>
    <w:rsid w:val="00050C2F"/>
    <w:rsid w:val="000517E5"/>
    <w:rsid w:val="0005199F"/>
    <w:rsid w:val="000526AC"/>
    <w:rsid w:val="0005287E"/>
    <w:rsid w:val="000605D4"/>
    <w:rsid w:val="00060691"/>
    <w:rsid w:val="00061F42"/>
    <w:rsid w:val="00064CBF"/>
    <w:rsid w:val="00066904"/>
    <w:rsid w:val="00074906"/>
    <w:rsid w:val="00076F62"/>
    <w:rsid w:val="00081E7E"/>
    <w:rsid w:val="0008206F"/>
    <w:rsid w:val="00083308"/>
    <w:rsid w:val="000862E0"/>
    <w:rsid w:val="0009359A"/>
    <w:rsid w:val="00095017"/>
    <w:rsid w:val="00097900"/>
    <w:rsid w:val="000A1C1C"/>
    <w:rsid w:val="000A2908"/>
    <w:rsid w:val="000A4F37"/>
    <w:rsid w:val="000A511E"/>
    <w:rsid w:val="000A5144"/>
    <w:rsid w:val="000A5625"/>
    <w:rsid w:val="000A6B58"/>
    <w:rsid w:val="000A6FD4"/>
    <w:rsid w:val="000A7DAB"/>
    <w:rsid w:val="000B6AA5"/>
    <w:rsid w:val="000C390D"/>
    <w:rsid w:val="000C491A"/>
    <w:rsid w:val="000D29D5"/>
    <w:rsid w:val="000D35C4"/>
    <w:rsid w:val="000D42A3"/>
    <w:rsid w:val="000D55D1"/>
    <w:rsid w:val="000D5E67"/>
    <w:rsid w:val="000D6E14"/>
    <w:rsid w:val="000E306B"/>
    <w:rsid w:val="000E6985"/>
    <w:rsid w:val="000E7CEA"/>
    <w:rsid w:val="000F49F7"/>
    <w:rsid w:val="000F76DD"/>
    <w:rsid w:val="00102664"/>
    <w:rsid w:val="0010495E"/>
    <w:rsid w:val="00104B89"/>
    <w:rsid w:val="001117F7"/>
    <w:rsid w:val="00111E05"/>
    <w:rsid w:val="0011475C"/>
    <w:rsid w:val="00114C5F"/>
    <w:rsid w:val="00117E19"/>
    <w:rsid w:val="00117F01"/>
    <w:rsid w:val="00127626"/>
    <w:rsid w:val="00131FBC"/>
    <w:rsid w:val="001340D4"/>
    <w:rsid w:val="00135FD7"/>
    <w:rsid w:val="00143A4A"/>
    <w:rsid w:val="00145B57"/>
    <w:rsid w:val="00146BFE"/>
    <w:rsid w:val="001516F0"/>
    <w:rsid w:val="00155B38"/>
    <w:rsid w:val="001573E9"/>
    <w:rsid w:val="001579B7"/>
    <w:rsid w:val="00160109"/>
    <w:rsid w:val="00160FAC"/>
    <w:rsid w:val="00171015"/>
    <w:rsid w:val="00173A7C"/>
    <w:rsid w:val="00176AC6"/>
    <w:rsid w:val="00177349"/>
    <w:rsid w:val="00187427"/>
    <w:rsid w:val="001904C5"/>
    <w:rsid w:val="001906A9"/>
    <w:rsid w:val="00192861"/>
    <w:rsid w:val="00192C80"/>
    <w:rsid w:val="00193195"/>
    <w:rsid w:val="001A255E"/>
    <w:rsid w:val="001B174B"/>
    <w:rsid w:val="001B1F8D"/>
    <w:rsid w:val="001C0049"/>
    <w:rsid w:val="001C1548"/>
    <w:rsid w:val="001C1B7B"/>
    <w:rsid w:val="001C5C40"/>
    <w:rsid w:val="001C637E"/>
    <w:rsid w:val="001D12B9"/>
    <w:rsid w:val="001D45CA"/>
    <w:rsid w:val="001D4CFD"/>
    <w:rsid w:val="001D6B5B"/>
    <w:rsid w:val="001E22E9"/>
    <w:rsid w:val="001E2385"/>
    <w:rsid w:val="001E24D0"/>
    <w:rsid w:val="001E3B87"/>
    <w:rsid w:val="001E542D"/>
    <w:rsid w:val="001E725F"/>
    <w:rsid w:val="001E7364"/>
    <w:rsid w:val="001F25D9"/>
    <w:rsid w:val="00203F07"/>
    <w:rsid w:val="00205CEB"/>
    <w:rsid w:val="0021207E"/>
    <w:rsid w:val="00212B02"/>
    <w:rsid w:val="00214182"/>
    <w:rsid w:val="0022001C"/>
    <w:rsid w:val="00221E39"/>
    <w:rsid w:val="00223230"/>
    <w:rsid w:val="00225412"/>
    <w:rsid w:val="00226819"/>
    <w:rsid w:val="00227E13"/>
    <w:rsid w:val="00233163"/>
    <w:rsid w:val="00234998"/>
    <w:rsid w:val="00250431"/>
    <w:rsid w:val="00250B3F"/>
    <w:rsid w:val="00252448"/>
    <w:rsid w:val="002530A8"/>
    <w:rsid w:val="00255BD7"/>
    <w:rsid w:val="00255EA1"/>
    <w:rsid w:val="00262BBD"/>
    <w:rsid w:val="00262F55"/>
    <w:rsid w:val="00263E22"/>
    <w:rsid w:val="00265B0A"/>
    <w:rsid w:val="002673A0"/>
    <w:rsid w:val="00270631"/>
    <w:rsid w:val="002722F9"/>
    <w:rsid w:val="002730DF"/>
    <w:rsid w:val="0027476F"/>
    <w:rsid w:val="002764DA"/>
    <w:rsid w:val="00277EFF"/>
    <w:rsid w:val="00280CD2"/>
    <w:rsid w:val="0028365D"/>
    <w:rsid w:val="00283AF6"/>
    <w:rsid w:val="00284346"/>
    <w:rsid w:val="0028563A"/>
    <w:rsid w:val="00291A76"/>
    <w:rsid w:val="0029286E"/>
    <w:rsid w:val="00295AE5"/>
    <w:rsid w:val="002A1ED5"/>
    <w:rsid w:val="002A200E"/>
    <w:rsid w:val="002A56C6"/>
    <w:rsid w:val="002A71DF"/>
    <w:rsid w:val="002B1D44"/>
    <w:rsid w:val="002B5956"/>
    <w:rsid w:val="002C1F0A"/>
    <w:rsid w:val="002C6119"/>
    <w:rsid w:val="002C6CC6"/>
    <w:rsid w:val="002D05DF"/>
    <w:rsid w:val="002D30A4"/>
    <w:rsid w:val="002D4777"/>
    <w:rsid w:val="002D4F82"/>
    <w:rsid w:val="002D4FD2"/>
    <w:rsid w:val="002D5797"/>
    <w:rsid w:val="002E204B"/>
    <w:rsid w:val="002E4EBD"/>
    <w:rsid w:val="002E4F76"/>
    <w:rsid w:val="002F272A"/>
    <w:rsid w:val="002F2CDD"/>
    <w:rsid w:val="002F391E"/>
    <w:rsid w:val="00303C97"/>
    <w:rsid w:val="00306321"/>
    <w:rsid w:val="003076DB"/>
    <w:rsid w:val="003112B0"/>
    <w:rsid w:val="00311617"/>
    <w:rsid w:val="0031316E"/>
    <w:rsid w:val="0031505D"/>
    <w:rsid w:val="00315837"/>
    <w:rsid w:val="0032284C"/>
    <w:rsid w:val="003228DB"/>
    <w:rsid w:val="003261B6"/>
    <w:rsid w:val="00326434"/>
    <w:rsid w:val="00330ECC"/>
    <w:rsid w:val="003324F7"/>
    <w:rsid w:val="00335280"/>
    <w:rsid w:val="00336CB1"/>
    <w:rsid w:val="00337221"/>
    <w:rsid w:val="003379A6"/>
    <w:rsid w:val="003406F4"/>
    <w:rsid w:val="00340A9E"/>
    <w:rsid w:val="003416EC"/>
    <w:rsid w:val="00342E2A"/>
    <w:rsid w:val="003446DD"/>
    <w:rsid w:val="003469AB"/>
    <w:rsid w:val="00354C99"/>
    <w:rsid w:val="00356DB8"/>
    <w:rsid w:val="00361B70"/>
    <w:rsid w:val="0036380E"/>
    <w:rsid w:val="00365661"/>
    <w:rsid w:val="00365AB0"/>
    <w:rsid w:val="00365D57"/>
    <w:rsid w:val="00367319"/>
    <w:rsid w:val="00371F87"/>
    <w:rsid w:val="0037474D"/>
    <w:rsid w:val="00384B78"/>
    <w:rsid w:val="003869B2"/>
    <w:rsid w:val="00391193"/>
    <w:rsid w:val="003922AB"/>
    <w:rsid w:val="003A2150"/>
    <w:rsid w:val="003B07A0"/>
    <w:rsid w:val="003B21CF"/>
    <w:rsid w:val="003B4277"/>
    <w:rsid w:val="003C2AF5"/>
    <w:rsid w:val="003C66AF"/>
    <w:rsid w:val="003D25A7"/>
    <w:rsid w:val="003D2BB9"/>
    <w:rsid w:val="003D6F9C"/>
    <w:rsid w:val="003E009C"/>
    <w:rsid w:val="003E7209"/>
    <w:rsid w:val="003F0F3F"/>
    <w:rsid w:val="003F19E1"/>
    <w:rsid w:val="003F3381"/>
    <w:rsid w:val="003F41E2"/>
    <w:rsid w:val="003F6FF7"/>
    <w:rsid w:val="0040135B"/>
    <w:rsid w:val="00402168"/>
    <w:rsid w:val="004034AE"/>
    <w:rsid w:val="00403D95"/>
    <w:rsid w:val="00404722"/>
    <w:rsid w:val="00405E4E"/>
    <w:rsid w:val="00406259"/>
    <w:rsid w:val="00406324"/>
    <w:rsid w:val="004075F8"/>
    <w:rsid w:val="00416FC9"/>
    <w:rsid w:val="00425D4A"/>
    <w:rsid w:val="0043140E"/>
    <w:rsid w:val="0043528A"/>
    <w:rsid w:val="00437393"/>
    <w:rsid w:val="00441969"/>
    <w:rsid w:val="00441A42"/>
    <w:rsid w:val="00441D77"/>
    <w:rsid w:val="00442496"/>
    <w:rsid w:val="00447B6C"/>
    <w:rsid w:val="00450361"/>
    <w:rsid w:val="00451BA3"/>
    <w:rsid w:val="004531C6"/>
    <w:rsid w:val="00453968"/>
    <w:rsid w:val="0046064F"/>
    <w:rsid w:val="004616C6"/>
    <w:rsid w:val="00461CE3"/>
    <w:rsid w:val="00464EA2"/>
    <w:rsid w:val="00465D02"/>
    <w:rsid w:val="004668B0"/>
    <w:rsid w:val="00472C78"/>
    <w:rsid w:val="00473780"/>
    <w:rsid w:val="00474D7D"/>
    <w:rsid w:val="00476684"/>
    <w:rsid w:val="00482B24"/>
    <w:rsid w:val="004831D9"/>
    <w:rsid w:val="00483C50"/>
    <w:rsid w:val="00490BC2"/>
    <w:rsid w:val="004923B4"/>
    <w:rsid w:val="00495742"/>
    <w:rsid w:val="004A4BDD"/>
    <w:rsid w:val="004A5207"/>
    <w:rsid w:val="004A5CEE"/>
    <w:rsid w:val="004B67D1"/>
    <w:rsid w:val="004C28AA"/>
    <w:rsid w:val="004C315F"/>
    <w:rsid w:val="004C33F5"/>
    <w:rsid w:val="004D3993"/>
    <w:rsid w:val="004D421F"/>
    <w:rsid w:val="004D57DD"/>
    <w:rsid w:val="004D5BA8"/>
    <w:rsid w:val="004D6D1F"/>
    <w:rsid w:val="004E06E6"/>
    <w:rsid w:val="004E1A94"/>
    <w:rsid w:val="004E3D92"/>
    <w:rsid w:val="004E6A30"/>
    <w:rsid w:val="004E7B1A"/>
    <w:rsid w:val="004E7F5C"/>
    <w:rsid w:val="004F0C27"/>
    <w:rsid w:val="004F380E"/>
    <w:rsid w:val="004F6417"/>
    <w:rsid w:val="004F6C18"/>
    <w:rsid w:val="00502325"/>
    <w:rsid w:val="00504D6B"/>
    <w:rsid w:val="00506C31"/>
    <w:rsid w:val="005102EE"/>
    <w:rsid w:val="005106ED"/>
    <w:rsid w:val="00512054"/>
    <w:rsid w:val="00513325"/>
    <w:rsid w:val="00522395"/>
    <w:rsid w:val="00524D78"/>
    <w:rsid w:val="00530E6D"/>
    <w:rsid w:val="00534EDF"/>
    <w:rsid w:val="00541645"/>
    <w:rsid w:val="00552CA4"/>
    <w:rsid w:val="0055331B"/>
    <w:rsid w:val="00564147"/>
    <w:rsid w:val="00565602"/>
    <w:rsid w:val="00573B79"/>
    <w:rsid w:val="005742AB"/>
    <w:rsid w:val="005762C0"/>
    <w:rsid w:val="00576EA2"/>
    <w:rsid w:val="00580B3A"/>
    <w:rsid w:val="005816A6"/>
    <w:rsid w:val="00582562"/>
    <w:rsid w:val="0058565E"/>
    <w:rsid w:val="005909DC"/>
    <w:rsid w:val="005917F6"/>
    <w:rsid w:val="005A1AF5"/>
    <w:rsid w:val="005A1B0F"/>
    <w:rsid w:val="005A1F8C"/>
    <w:rsid w:val="005A794A"/>
    <w:rsid w:val="005B1B16"/>
    <w:rsid w:val="005B2687"/>
    <w:rsid w:val="005B6BF8"/>
    <w:rsid w:val="005B6F49"/>
    <w:rsid w:val="005C0602"/>
    <w:rsid w:val="005C382A"/>
    <w:rsid w:val="005C3CE8"/>
    <w:rsid w:val="005D0B91"/>
    <w:rsid w:val="005D277A"/>
    <w:rsid w:val="005D49CF"/>
    <w:rsid w:val="005D695F"/>
    <w:rsid w:val="005D701B"/>
    <w:rsid w:val="005E10B0"/>
    <w:rsid w:val="005E51DD"/>
    <w:rsid w:val="005E6DAA"/>
    <w:rsid w:val="005E7240"/>
    <w:rsid w:val="005F026E"/>
    <w:rsid w:val="005F1E61"/>
    <w:rsid w:val="005F46E8"/>
    <w:rsid w:val="005F4FC2"/>
    <w:rsid w:val="005F5619"/>
    <w:rsid w:val="00600C3D"/>
    <w:rsid w:val="00602372"/>
    <w:rsid w:val="006050C9"/>
    <w:rsid w:val="00605A4F"/>
    <w:rsid w:val="0061057B"/>
    <w:rsid w:val="006113D7"/>
    <w:rsid w:val="00612F11"/>
    <w:rsid w:val="00616137"/>
    <w:rsid w:val="00616420"/>
    <w:rsid w:val="00623ACC"/>
    <w:rsid w:val="00624857"/>
    <w:rsid w:val="00627F32"/>
    <w:rsid w:val="00630EBF"/>
    <w:rsid w:val="00637433"/>
    <w:rsid w:val="0063745B"/>
    <w:rsid w:val="00643858"/>
    <w:rsid w:val="00656431"/>
    <w:rsid w:val="00663BC9"/>
    <w:rsid w:val="00664896"/>
    <w:rsid w:val="006651F6"/>
    <w:rsid w:val="006673F5"/>
    <w:rsid w:val="00673068"/>
    <w:rsid w:val="006803C0"/>
    <w:rsid w:val="00691635"/>
    <w:rsid w:val="00691738"/>
    <w:rsid w:val="006A12AA"/>
    <w:rsid w:val="006C0E66"/>
    <w:rsid w:val="006C105B"/>
    <w:rsid w:val="006C4CE5"/>
    <w:rsid w:val="006C5353"/>
    <w:rsid w:val="006D3B5F"/>
    <w:rsid w:val="006D73A5"/>
    <w:rsid w:val="006E1FC9"/>
    <w:rsid w:val="006E24A3"/>
    <w:rsid w:val="006E3BDE"/>
    <w:rsid w:val="006E7B92"/>
    <w:rsid w:val="006E7D33"/>
    <w:rsid w:val="006F0CB6"/>
    <w:rsid w:val="0070112A"/>
    <w:rsid w:val="007033CF"/>
    <w:rsid w:val="00704948"/>
    <w:rsid w:val="00706884"/>
    <w:rsid w:val="00713539"/>
    <w:rsid w:val="00714DFA"/>
    <w:rsid w:val="00714FA3"/>
    <w:rsid w:val="00715522"/>
    <w:rsid w:val="007163F3"/>
    <w:rsid w:val="00717AFC"/>
    <w:rsid w:val="00723CD4"/>
    <w:rsid w:val="0072515E"/>
    <w:rsid w:val="0072696B"/>
    <w:rsid w:val="007317DB"/>
    <w:rsid w:val="00732C28"/>
    <w:rsid w:val="007367D7"/>
    <w:rsid w:val="0073694D"/>
    <w:rsid w:val="007442C8"/>
    <w:rsid w:val="00744BCE"/>
    <w:rsid w:val="00744E86"/>
    <w:rsid w:val="00745D66"/>
    <w:rsid w:val="007460CF"/>
    <w:rsid w:val="00753B9F"/>
    <w:rsid w:val="0075683F"/>
    <w:rsid w:val="00757E52"/>
    <w:rsid w:val="0076133F"/>
    <w:rsid w:val="00761D2F"/>
    <w:rsid w:val="00761E90"/>
    <w:rsid w:val="00762981"/>
    <w:rsid w:val="00762BF0"/>
    <w:rsid w:val="00763746"/>
    <w:rsid w:val="007639E0"/>
    <w:rsid w:val="007661F0"/>
    <w:rsid w:val="00772411"/>
    <w:rsid w:val="007733CF"/>
    <w:rsid w:val="00777543"/>
    <w:rsid w:val="00780903"/>
    <w:rsid w:val="00781B1C"/>
    <w:rsid w:val="00781EED"/>
    <w:rsid w:val="007869B3"/>
    <w:rsid w:val="00792444"/>
    <w:rsid w:val="0079258D"/>
    <w:rsid w:val="007948FF"/>
    <w:rsid w:val="007A117D"/>
    <w:rsid w:val="007A1193"/>
    <w:rsid w:val="007A1346"/>
    <w:rsid w:val="007A21F4"/>
    <w:rsid w:val="007A21FA"/>
    <w:rsid w:val="007A265E"/>
    <w:rsid w:val="007A3269"/>
    <w:rsid w:val="007A5A88"/>
    <w:rsid w:val="007B277C"/>
    <w:rsid w:val="007B4457"/>
    <w:rsid w:val="007C4C3C"/>
    <w:rsid w:val="007C7CA9"/>
    <w:rsid w:val="007D3E62"/>
    <w:rsid w:val="007D7027"/>
    <w:rsid w:val="007E1E21"/>
    <w:rsid w:val="007E2D3C"/>
    <w:rsid w:val="007F424C"/>
    <w:rsid w:val="007F5246"/>
    <w:rsid w:val="0080267C"/>
    <w:rsid w:val="00806156"/>
    <w:rsid w:val="00806962"/>
    <w:rsid w:val="00813D2F"/>
    <w:rsid w:val="0081518C"/>
    <w:rsid w:val="0081632B"/>
    <w:rsid w:val="00816359"/>
    <w:rsid w:val="00816EFC"/>
    <w:rsid w:val="00820D4C"/>
    <w:rsid w:val="0082552E"/>
    <w:rsid w:val="00830AFD"/>
    <w:rsid w:val="008315E9"/>
    <w:rsid w:val="008329EE"/>
    <w:rsid w:val="00837BF0"/>
    <w:rsid w:val="00842A28"/>
    <w:rsid w:val="00843477"/>
    <w:rsid w:val="0084582C"/>
    <w:rsid w:val="00845912"/>
    <w:rsid w:val="00853CB0"/>
    <w:rsid w:val="0085594E"/>
    <w:rsid w:val="00856CF1"/>
    <w:rsid w:val="008625C1"/>
    <w:rsid w:val="00862BE3"/>
    <w:rsid w:val="0086675A"/>
    <w:rsid w:val="0087373C"/>
    <w:rsid w:val="00875D05"/>
    <w:rsid w:val="00876535"/>
    <w:rsid w:val="0088018A"/>
    <w:rsid w:val="008825B6"/>
    <w:rsid w:val="0089003D"/>
    <w:rsid w:val="00890A24"/>
    <w:rsid w:val="0089637B"/>
    <w:rsid w:val="008A0A50"/>
    <w:rsid w:val="008A1FC9"/>
    <w:rsid w:val="008A6698"/>
    <w:rsid w:val="008B19C4"/>
    <w:rsid w:val="008B2716"/>
    <w:rsid w:val="008B2F98"/>
    <w:rsid w:val="008C10E6"/>
    <w:rsid w:val="008C111D"/>
    <w:rsid w:val="008C254A"/>
    <w:rsid w:val="008C653D"/>
    <w:rsid w:val="008C6E28"/>
    <w:rsid w:val="008C7077"/>
    <w:rsid w:val="008D5346"/>
    <w:rsid w:val="008D55C9"/>
    <w:rsid w:val="008E5AB9"/>
    <w:rsid w:val="008F135C"/>
    <w:rsid w:val="008F3D12"/>
    <w:rsid w:val="008F56D8"/>
    <w:rsid w:val="0090259F"/>
    <w:rsid w:val="00907DDD"/>
    <w:rsid w:val="00910F4B"/>
    <w:rsid w:val="009127B4"/>
    <w:rsid w:val="00912AC2"/>
    <w:rsid w:val="00913813"/>
    <w:rsid w:val="009138C6"/>
    <w:rsid w:val="00924B1B"/>
    <w:rsid w:val="00925612"/>
    <w:rsid w:val="009257ED"/>
    <w:rsid w:val="00926687"/>
    <w:rsid w:val="00926999"/>
    <w:rsid w:val="00933A77"/>
    <w:rsid w:val="00935926"/>
    <w:rsid w:val="00936AB0"/>
    <w:rsid w:val="00942853"/>
    <w:rsid w:val="0094596E"/>
    <w:rsid w:val="0095473D"/>
    <w:rsid w:val="00957299"/>
    <w:rsid w:val="009575ED"/>
    <w:rsid w:val="0096099B"/>
    <w:rsid w:val="0096335A"/>
    <w:rsid w:val="00966FF8"/>
    <w:rsid w:val="009674F9"/>
    <w:rsid w:val="00970726"/>
    <w:rsid w:val="009709E1"/>
    <w:rsid w:val="00972344"/>
    <w:rsid w:val="009724F5"/>
    <w:rsid w:val="0097550B"/>
    <w:rsid w:val="0098552D"/>
    <w:rsid w:val="00987D37"/>
    <w:rsid w:val="00987EC3"/>
    <w:rsid w:val="0099462D"/>
    <w:rsid w:val="009947BB"/>
    <w:rsid w:val="009948F8"/>
    <w:rsid w:val="009A01AC"/>
    <w:rsid w:val="009A24F0"/>
    <w:rsid w:val="009A728D"/>
    <w:rsid w:val="009B4BC1"/>
    <w:rsid w:val="009C2C29"/>
    <w:rsid w:val="009D342E"/>
    <w:rsid w:val="009D3A39"/>
    <w:rsid w:val="009D59B3"/>
    <w:rsid w:val="009E34E4"/>
    <w:rsid w:val="009E39CE"/>
    <w:rsid w:val="009E5AA0"/>
    <w:rsid w:val="009F08D1"/>
    <w:rsid w:val="009F5720"/>
    <w:rsid w:val="009F7561"/>
    <w:rsid w:val="009F76EE"/>
    <w:rsid w:val="00A00642"/>
    <w:rsid w:val="00A0373D"/>
    <w:rsid w:val="00A045EB"/>
    <w:rsid w:val="00A12736"/>
    <w:rsid w:val="00A205A8"/>
    <w:rsid w:val="00A219F4"/>
    <w:rsid w:val="00A23529"/>
    <w:rsid w:val="00A23E56"/>
    <w:rsid w:val="00A31DCC"/>
    <w:rsid w:val="00A337DB"/>
    <w:rsid w:val="00A37258"/>
    <w:rsid w:val="00A3770E"/>
    <w:rsid w:val="00A41A9D"/>
    <w:rsid w:val="00A449B8"/>
    <w:rsid w:val="00A4728B"/>
    <w:rsid w:val="00A510EB"/>
    <w:rsid w:val="00A51A95"/>
    <w:rsid w:val="00A52E43"/>
    <w:rsid w:val="00A53935"/>
    <w:rsid w:val="00A6376A"/>
    <w:rsid w:val="00A63C7F"/>
    <w:rsid w:val="00A65A12"/>
    <w:rsid w:val="00A66961"/>
    <w:rsid w:val="00A70945"/>
    <w:rsid w:val="00A72075"/>
    <w:rsid w:val="00A72778"/>
    <w:rsid w:val="00A75DD9"/>
    <w:rsid w:val="00A7617C"/>
    <w:rsid w:val="00A775F4"/>
    <w:rsid w:val="00A7783F"/>
    <w:rsid w:val="00A84D8C"/>
    <w:rsid w:val="00A84E83"/>
    <w:rsid w:val="00A85888"/>
    <w:rsid w:val="00A974A8"/>
    <w:rsid w:val="00AA04CC"/>
    <w:rsid w:val="00AA1F69"/>
    <w:rsid w:val="00AA4903"/>
    <w:rsid w:val="00AA5F62"/>
    <w:rsid w:val="00AA69AC"/>
    <w:rsid w:val="00AA7F93"/>
    <w:rsid w:val="00AB4A58"/>
    <w:rsid w:val="00AB4C4C"/>
    <w:rsid w:val="00AC1100"/>
    <w:rsid w:val="00AC129B"/>
    <w:rsid w:val="00AC2BF4"/>
    <w:rsid w:val="00AC3A86"/>
    <w:rsid w:val="00AC44C3"/>
    <w:rsid w:val="00AC49E6"/>
    <w:rsid w:val="00AC4B0A"/>
    <w:rsid w:val="00AC585A"/>
    <w:rsid w:val="00AC5ADF"/>
    <w:rsid w:val="00AC7D48"/>
    <w:rsid w:val="00AD23D1"/>
    <w:rsid w:val="00AD3287"/>
    <w:rsid w:val="00AD6787"/>
    <w:rsid w:val="00AE0D78"/>
    <w:rsid w:val="00AE2FCE"/>
    <w:rsid w:val="00AE4E1E"/>
    <w:rsid w:val="00AE5512"/>
    <w:rsid w:val="00AE5D8E"/>
    <w:rsid w:val="00AF5273"/>
    <w:rsid w:val="00AF6641"/>
    <w:rsid w:val="00B006DF"/>
    <w:rsid w:val="00B01BED"/>
    <w:rsid w:val="00B0625C"/>
    <w:rsid w:val="00B06670"/>
    <w:rsid w:val="00B06A23"/>
    <w:rsid w:val="00B07CE5"/>
    <w:rsid w:val="00B12C6F"/>
    <w:rsid w:val="00B15925"/>
    <w:rsid w:val="00B22B5A"/>
    <w:rsid w:val="00B24700"/>
    <w:rsid w:val="00B24A19"/>
    <w:rsid w:val="00B25235"/>
    <w:rsid w:val="00B25F0B"/>
    <w:rsid w:val="00B26FC3"/>
    <w:rsid w:val="00B44E9E"/>
    <w:rsid w:val="00B50172"/>
    <w:rsid w:val="00B506AE"/>
    <w:rsid w:val="00B5573C"/>
    <w:rsid w:val="00B560DB"/>
    <w:rsid w:val="00B571A7"/>
    <w:rsid w:val="00B62BA2"/>
    <w:rsid w:val="00B63582"/>
    <w:rsid w:val="00B64C84"/>
    <w:rsid w:val="00B65782"/>
    <w:rsid w:val="00B73D0E"/>
    <w:rsid w:val="00B767B8"/>
    <w:rsid w:val="00B817F1"/>
    <w:rsid w:val="00B81CCA"/>
    <w:rsid w:val="00B83AB2"/>
    <w:rsid w:val="00B85CAD"/>
    <w:rsid w:val="00B85E55"/>
    <w:rsid w:val="00B86490"/>
    <w:rsid w:val="00B92BCC"/>
    <w:rsid w:val="00B95739"/>
    <w:rsid w:val="00B96E70"/>
    <w:rsid w:val="00BA0CC4"/>
    <w:rsid w:val="00BA2508"/>
    <w:rsid w:val="00BB4A32"/>
    <w:rsid w:val="00BB5CFD"/>
    <w:rsid w:val="00BB7703"/>
    <w:rsid w:val="00BB7890"/>
    <w:rsid w:val="00BC05BA"/>
    <w:rsid w:val="00BC15C9"/>
    <w:rsid w:val="00BC2247"/>
    <w:rsid w:val="00BC5BC7"/>
    <w:rsid w:val="00BD0FF6"/>
    <w:rsid w:val="00BD4F8A"/>
    <w:rsid w:val="00BE1ED8"/>
    <w:rsid w:val="00BE308F"/>
    <w:rsid w:val="00BE42A0"/>
    <w:rsid w:val="00BE7319"/>
    <w:rsid w:val="00BE787A"/>
    <w:rsid w:val="00BF33B9"/>
    <w:rsid w:val="00BF35BA"/>
    <w:rsid w:val="00BF5E61"/>
    <w:rsid w:val="00C00753"/>
    <w:rsid w:val="00C014E2"/>
    <w:rsid w:val="00C02C5F"/>
    <w:rsid w:val="00C04DA0"/>
    <w:rsid w:val="00C1208F"/>
    <w:rsid w:val="00C126E2"/>
    <w:rsid w:val="00C15E58"/>
    <w:rsid w:val="00C21E72"/>
    <w:rsid w:val="00C22BD2"/>
    <w:rsid w:val="00C23F66"/>
    <w:rsid w:val="00C303C7"/>
    <w:rsid w:val="00C345F1"/>
    <w:rsid w:val="00C35A3D"/>
    <w:rsid w:val="00C37C1B"/>
    <w:rsid w:val="00C41455"/>
    <w:rsid w:val="00C41CAB"/>
    <w:rsid w:val="00C47767"/>
    <w:rsid w:val="00C50AC8"/>
    <w:rsid w:val="00C51375"/>
    <w:rsid w:val="00C537D7"/>
    <w:rsid w:val="00C5662C"/>
    <w:rsid w:val="00C57E6C"/>
    <w:rsid w:val="00C61DE0"/>
    <w:rsid w:val="00C66D58"/>
    <w:rsid w:val="00C66E83"/>
    <w:rsid w:val="00C70295"/>
    <w:rsid w:val="00C74DD2"/>
    <w:rsid w:val="00C75E72"/>
    <w:rsid w:val="00C76432"/>
    <w:rsid w:val="00C7692A"/>
    <w:rsid w:val="00C76E29"/>
    <w:rsid w:val="00C8138D"/>
    <w:rsid w:val="00C84F83"/>
    <w:rsid w:val="00C860AC"/>
    <w:rsid w:val="00C9568F"/>
    <w:rsid w:val="00CA0F0E"/>
    <w:rsid w:val="00CA5A71"/>
    <w:rsid w:val="00CB10FF"/>
    <w:rsid w:val="00CB2C79"/>
    <w:rsid w:val="00CB5CB5"/>
    <w:rsid w:val="00CC041E"/>
    <w:rsid w:val="00CC2B63"/>
    <w:rsid w:val="00CC3975"/>
    <w:rsid w:val="00CD7A49"/>
    <w:rsid w:val="00CE10DC"/>
    <w:rsid w:val="00CE488D"/>
    <w:rsid w:val="00CE5374"/>
    <w:rsid w:val="00CF647A"/>
    <w:rsid w:val="00D01045"/>
    <w:rsid w:val="00D033D6"/>
    <w:rsid w:val="00D0405F"/>
    <w:rsid w:val="00D0761E"/>
    <w:rsid w:val="00D15200"/>
    <w:rsid w:val="00D23B66"/>
    <w:rsid w:val="00D25C37"/>
    <w:rsid w:val="00D264CB"/>
    <w:rsid w:val="00D265FF"/>
    <w:rsid w:val="00D27A84"/>
    <w:rsid w:val="00D32221"/>
    <w:rsid w:val="00D357A0"/>
    <w:rsid w:val="00D40548"/>
    <w:rsid w:val="00D40677"/>
    <w:rsid w:val="00D423C8"/>
    <w:rsid w:val="00D50EF8"/>
    <w:rsid w:val="00D517A6"/>
    <w:rsid w:val="00D51FFC"/>
    <w:rsid w:val="00D52651"/>
    <w:rsid w:val="00D53186"/>
    <w:rsid w:val="00D54C20"/>
    <w:rsid w:val="00D57774"/>
    <w:rsid w:val="00D63007"/>
    <w:rsid w:val="00D649DE"/>
    <w:rsid w:val="00D67623"/>
    <w:rsid w:val="00D7144B"/>
    <w:rsid w:val="00D75FE2"/>
    <w:rsid w:val="00D81A26"/>
    <w:rsid w:val="00D8312D"/>
    <w:rsid w:val="00D869AF"/>
    <w:rsid w:val="00D87CB7"/>
    <w:rsid w:val="00D90A59"/>
    <w:rsid w:val="00D9382B"/>
    <w:rsid w:val="00D94318"/>
    <w:rsid w:val="00DA121A"/>
    <w:rsid w:val="00DA1C2C"/>
    <w:rsid w:val="00DA20E2"/>
    <w:rsid w:val="00DA5312"/>
    <w:rsid w:val="00DA6F15"/>
    <w:rsid w:val="00DB02F7"/>
    <w:rsid w:val="00DB35BF"/>
    <w:rsid w:val="00DB53A1"/>
    <w:rsid w:val="00DB6CA4"/>
    <w:rsid w:val="00DB7928"/>
    <w:rsid w:val="00DC0C02"/>
    <w:rsid w:val="00DC35DC"/>
    <w:rsid w:val="00DC474A"/>
    <w:rsid w:val="00DC4FCB"/>
    <w:rsid w:val="00DC6671"/>
    <w:rsid w:val="00DD0360"/>
    <w:rsid w:val="00DD48D9"/>
    <w:rsid w:val="00DD7DD8"/>
    <w:rsid w:val="00DE32A3"/>
    <w:rsid w:val="00DE3579"/>
    <w:rsid w:val="00DE5444"/>
    <w:rsid w:val="00DE74FD"/>
    <w:rsid w:val="00E01D87"/>
    <w:rsid w:val="00E0342E"/>
    <w:rsid w:val="00E04679"/>
    <w:rsid w:val="00E140DE"/>
    <w:rsid w:val="00E15070"/>
    <w:rsid w:val="00E21E3D"/>
    <w:rsid w:val="00E24986"/>
    <w:rsid w:val="00E27AB1"/>
    <w:rsid w:val="00E34DCF"/>
    <w:rsid w:val="00E35477"/>
    <w:rsid w:val="00E40888"/>
    <w:rsid w:val="00E433F8"/>
    <w:rsid w:val="00E44A8A"/>
    <w:rsid w:val="00E451A3"/>
    <w:rsid w:val="00E64A63"/>
    <w:rsid w:val="00E64F62"/>
    <w:rsid w:val="00E70796"/>
    <w:rsid w:val="00E71CBB"/>
    <w:rsid w:val="00E71F94"/>
    <w:rsid w:val="00E74CDF"/>
    <w:rsid w:val="00E753D7"/>
    <w:rsid w:val="00E76D89"/>
    <w:rsid w:val="00E86143"/>
    <w:rsid w:val="00E939FE"/>
    <w:rsid w:val="00EA0E4D"/>
    <w:rsid w:val="00EA31D3"/>
    <w:rsid w:val="00EA55A4"/>
    <w:rsid w:val="00EB16BB"/>
    <w:rsid w:val="00EB46A6"/>
    <w:rsid w:val="00EB703F"/>
    <w:rsid w:val="00EC1806"/>
    <w:rsid w:val="00EC38A9"/>
    <w:rsid w:val="00EC4D5F"/>
    <w:rsid w:val="00EC5AD6"/>
    <w:rsid w:val="00ED0931"/>
    <w:rsid w:val="00ED3CA6"/>
    <w:rsid w:val="00ED541B"/>
    <w:rsid w:val="00ED56AF"/>
    <w:rsid w:val="00ED636B"/>
    <w:rsid w:val="00ED6F49"/>
    <w:rsid w:val="00EE3A89"/>
    <w:rsid w:val="00EE60A0"/>
    <w:rsid w:val="00EE66A8"/>
    <w:rsid w:val="00EF12DF"/>
    <w:rsid w:val="00EF5677"/>
    <w:rsid w:val="00F02098"/>
    <w:rsid w:val="00F02893"/>
    <w:rsid w:val="00F04326"/>
    <w:rsid w:val="00F0597C"/>
    <w:rsid w:val="00F066EA"/>
    <w:rsid w:val="00F11CB5"/>
    <w:rsid w:val="00F1427B"/>
    <w:rsid w:val="00F14E14"/>
    <w:rsid w:val="00F15AB4"/>
    <w:rsid w:val="00F2339B"/>
    <w:rsid w:val="00F23BC8"/>
    <w:rsid w:val="00F31717"/>
    <w:rsid w:val="00F32B95"/>
    <w:rsid w:val="00F3366C"/>
    <w:rsid w:val="00F33953"/>
    <w:rsid w:val="00F36D81"/>
    <w:rsid w:val="00F40862"/>
    <w:rsid w:val="00F41CD4"/>
    <w:rsid w:val="00F432ED"/>
    <w:rsid w:val="00F45188"/>
    <w:rsid w:val="00F455BA"/>
    <w:rsid w:val="00F51AC1"/>
    <w:rsid w:val="00F51E79"/>
    <w:rsid w:val="00F5218D"/>
    <w:rsid w:val="00F53969"/>
    <w:rsid w:val="00F55080"/>
    <w:rsid w:val="00F55BB4"/>
    <w:rsid w:val="00F6006A"/>
    <w:rsid w:val="00F603EA"/>
    <w:rsid w:val="00F605A9"/>
    <w:rsid w:val="00F643CE"/>
    <w:rsid w:val="00F64AAD"/>
    <w:rsid w:val="00F66EB6"/>
    <w:rsid w:val="00F72097"/>
    <w:rsid w:val="00F72131"/>
    <w:rsid w:val="00F747B2"/>
    <w:rsid w:val="00F76613"/>
    <w:rsid w:val="00F80CB7"/>
    <w:rsid w:val="00F80FE3"/>
    <w:rsid w:val="00F8106D"/>
    <w:rsid w:val="00F81A37"/>
    <w:rsid w:val="00F84300"/>
    <w:rsid w:val="00F907C8"/>
    <w:rsid w:val="00F9242C"/>
    <w:rsid w:val="00F93A4B"/>
    <w:rsid w:val="00F95BE5"/>
    <w:rsid w:val="00F96450"/>
    <w:rsid w:val="00F97769"/>
    <w:rsid w:val="00FA3424"/>
    <w:rsid w:val="00FA3BE7"/>
    <w:rsid w:val="00FA3E1F"/>
    <w:rsid w:val="00FB635F"/>
    <w:rsid w:val="00FC4192"/>
    <w:rsid w:val="00FC6570"/>
    <w:rsid w:val="00FD0704"/>
    <w:rsid w:val="00FD445D"/>
    <w:rsid w:val="00FD4A82"/>
    <w:rsid w:val="00FD57E7"/>
    <w:rsid w:val="00FD5D95"/>
    <w:rsid w:val="00FD6CCF"/>
    <w:rsid w:val="00FE0A71"/>
    <w:rsid w:val="00FE19CD"/>
    <w:rsid w:val="00FE2D1E"/>
    <w:rsid w:val="00FE2E72"/>
    <w:rsid w:val="00FE38B5"/>
    <w:rsid w:val="00FE5593"/>
    <w:rsid w:val="00FE5A22"/>
    <w:rsid w:val="00FF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615C77"/>
  <w15:docId w15:val="{7CA173DE-BF30-437D-9CA5-8A13CA3B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57E7"/>
    <w:rPr>
      <w:color w:val="0563C1" w:themeColor="hyperlink"/>
      <w:u w:val="single"/>
    </w:rPr>
  </w:style>
  <w:style w:type="paragraph" w:styleId="ListeParagraf">
    <w:name w:val="List Paragraph"/>
    <w:basedOn w:val="Normal"/>
    <w:uiPriority w:val="34"/>
    <w:qFormat/>
    <w:rsid w:val="00FD57E7"/>
    <w:pPr>
      <w:ind w:left="720"/>
      <w:contextualSpacing/>
    </w:pPr>
  </w:style>
  <w:style w:type="table" w:customStyle="1" w:styleId="KlavuzTablo1Ak-Vurgu11">
    <w:name w:val="Kılavuz Tablo 1 Açık - Vurgu 11"/>
    <w:basedOn w:val="NormalTablo"/>
    <w:uiPriority w:val="46"/>
    <w:rsid w:val="009855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D53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186"/>
    <w:rPr>
      <w:rFonts w:ascii="Tahoma" w:hAnsi="Tahoma" w:cs="Tahoma"/>
      <w:sz w:val="16"/>
      <w:szCs w:val="16"/>
    </w:rPr>
  </w:style>
  <w:style w:type="character" w:styleId="AklamaBavurusu">
    <w:name w:val="annotation reference"/>
    <w:basedOn w:val="VarsaylanParagrafYazTipi"/>
    <w:uiPriority w:val="99"/>
    <w:semiHidden/>
    <w:unhideWhenUsed/>
    <w:rsid w:val="00B12C6F"/>
    <w:rPr>
      <w:sz w:val="16"/>
      <w:szCs w:val="16"/>
    </w:rPr>
  </w:style>
  <w:style w:type="paragraph" w:styleId="AklamaMetni">
    <w:name w:val="annotation text"/>
    <w:basedOn w:val="Normal"/>
    <w:link w:val="AklamaMetniChar"/>
    <w:uiPriority w:val="99"/>
    <w:semiHidden/>
    <w:unhideWhenUsed/>
    <w:rsid w:val="00B12C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C6F"/>
    <w:rPr>
      <w:sz w:val="20"/>
      <w:szCs w:val="20"/>
    </w:rPr>
  </w:style>
  <w:style w:type="paragraph" w:styleId="AklamaKonusu">
    <w:name w:val="annotation subject"/>
    <w:basedOn w:val="AklamaMetni"/>
    <w:next w:val="AklamaMetni"/>
    <w:link w:val="AklamaKonusuChar"/>
    <w:uiPriority w:val="99"/>
    <w:semiHidden/>
    <w:unhideWhenUsed/>
    <w:rsid w:val="00B12C6F"/>
    <w:rPr>
      <w:b/>
      <w:bCs/>
    </w:rPr>
  </w:style>
  <w:style w:type="character" w:customStyle="1" w:styleId="AklamaKonusuChar">
    <w:name w:val="Açıklama Konusu Char"/>
    <w:basedOn w:val="AklamaMetniChar"/>
    <w:link w:val="AklamaKonusu"/>
    <w:uiPriority w:val="99"/>
    <w:semiHidden/>
    <w:rsid w:val="00B12C6F"/>
    <w:rPr>
      <w:b/>
      <w:bCs/>
      <w:sz w:val="20"/>
      <w:szCs w:val="20"/>
    </w:rPr>
  </w:style>
  <w:style w:type="paragraph" w:styleId="stBilgi">
    <w:name w:val="header"/>
    <w:basedOn w:val="Normal"/>
    <w:link w:val="stBilgiChar"/>
    <w:uiPriority w:val="99"/>
    <w:unhideWhenUsed/>
    <w:rsid w:val="00F721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2131"/>
  </w:style>
  <w:style w:type="paragraph" w:styleId="AltBilgi">
    <w:name w:val="footer"/>
    <w:basedOn w:val="Normal"/>
    <w:link w:val="AltBilgiChar"/>
    <w:uiPriority w:val="99"/>
    <w:unhideWhenUsed/>
    <w:rsid w:val="00F721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2131"/>
  </w:style>
  <w:style w:type="table" w:styleId="DzTablo1">
    <w:name w:val="Plain Table 1"/>
    <w:basedOn w:val="NormalTablo"/>
    <w:uiPriority w:val="41"/>
    <w:rsid w:val="008B2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6Renkli-Vurgu1">
    <w:name w:val="Grid Table 6 Colorful Accent 1"/>
    <w:basedOn w:val="NormalTablo"/>
    <w:uiPriority w:val="51"/>
    <w:rsid w:val="008B2F9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5">
    <w:name w:val="Grid Table 6 Colorful Accent 5"/>
    <w:basedOn w:val="NormalTablo"/>
    <w:uiPriority w:val="51"/>
    <w:rsid w:val="00227E1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oKlavuzu">
    <w:name w:val="Table Grid"/>
    <w:basedOn w:val="NormalTablo"/>
    <w:uiPriority w:val="39"/>
    <w:rsid w:val="005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344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4492"/>
    <w:rPr>
      <w:sz w:val="20"/>
      <w:szCs w:val="20"/>
    </w:rPr>
  </w:style>
  <w:style w:type="character" w:styleId="DipnotBavurusu">
    <w:name w:val="footnote reference"/>
    <w:basedOn w:val="VarsaylanParagrafYazTipi"/>
    <w:uiPriority w:val="99"/>
    <w:semiHidden/>
    <w:unhideWhenUsed/>
    <w:rsid w:val="00034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229">
      <w:bodyDiv w:val="1"/>
      <w:marLeft w:val="0"/>
      <w:marRight w:val="0"/>
      <w:marTop w:val="0"/>
      <w:marBottom w:val="0"/>
      <w:divBdr>
        <w:top w:val="none" w:sz="0" w:space="0" w:color="auto"/>
        <w:left w:val="none" w:sz="0" w:space="0" w:color="auto"/>
        <w:bottom w:val="none" w:sz="0" w:space="0" w:color="auto"/>
        <w:right w:val="none" w:sz="0" w:space="0" w:color="auto"/>
      </w:divBdr>
    </w:div>
    <w:div w:id="42950226">
      <w:bodyDiv w:val="1"/>
      <w:marLeft w:val="0"/>
      <w:marRight w:val="0"/>
      <w:marTop w:val="0"/>
      <w:marBottom w:val="0"/>
      <w:divBdr>
        <w:top w:val="none" w:sz="0" w:space="0" w:color="auto"/>
        <w:left w:val="none" w:sz="0" w:space="0" w:color="auto"/>
        <w:bottom w:val="none" w:sz="0" w:space="0" w:color="auto"/>
        <w:right w:val="none" w:sz="0" w:space="0" w:color="auto"/>
      </w:divBdr>
    </w:div>
    <w:div w:id="73279116">
      <w:bodyDiv w:val="1"/>
      <w:marLeft w:val="0"/>
      <w:marRight w:val="0"/>
      <w:marTop w:val="0"/>
      <w:marBottom w:val="0"/>
      <w:divBdr>
        <w:top w:val="none" w:sz="0" w:space="0" w:color="auto"/>
        <w:left w:val="none" w:sz="0" w:space="0" w:color="auto"/>
        <w:bottom w:val="none" w:sz="0" w:space="0" w:color="auto"/>
        <w:right w:val="none" w:sz="0" w:space="0" w:color="auto"/>
      </w:divBdr>
    </w:div>
    <w:div w:id="84150756">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84307260">
      <w:bodyDiv w:val="1"/>
      <w:marLeft w:val="0"/>
      <w:marRight w:val="0"/>
      <w:marTop w:val="0"/>
      <w:marBottom w:val="0"/>
      <w:divBdr>
        <w:top w:val="none" w:sz="0" w:space="0" w:color="auto"/>
        <w:left w:val="none" w:sz="0" w:space="0" w:color="auto"/>
        <w:bottom w:val="none" w:sz="0" w:space="0" w:color="auto"/>
        <w:right w:val="none" w:sz="0" w:space="0" w:color="auto"/>
      </w:divBdr>
    </w:div>
    <w:div w:id="117140449">
      <w:bodyDiv w:val="1"/>
      <w:marLeft w:val="0"/>
      <w:marRight w:val="0"/>
      <w:marTop w:val="0"/>
      <w:marBottom w:val="0"/>
      <w:divBdr>
        <w:top w:val="none" w:sz="0" w:space="0" w:color="auto"/>
        <w:left w:val="none" w:sz="0" w:space="0" w:color="auto"/>
        <w:bottom w:val="none" w:sz="0" w:space="0" w:color="auto"/>
        <w:right w:val="none" w:sz="0" w:space="0" w:color="auto"/>
      </w:divBdr>
    </w:div>
    <w:div w:id="154690452">
      <w:bodyDiv w:val="1"/>
      <w:marLeft w:val="0"/>
      <w:marRight w:val="0"/>
      <w:marTop w:val="0"/>
      <w:marBottom w:val="0"/>
      <w:divBdr>
        <w:top w:val="none" w:sz="0" w:space="0" w:color="auto"/>
        <w:left w:val="none" w:sz="0" w:space="0" w:color="auto"/>
        <w:bottom w:val="none" w:sz="0" w:space="0" w:color="auto"/>
        <w:right w:val="none" w:sz="0" w:space="0" w:color="auto"/>
      </w:divBdr>
    </w:div>
    <w:div w:id="155805540">
      <w:bodyDiv w:val="1"/>
      <w:marLeft w:val="0"/>
      <w:marRight w:val="0"/>
      <w:marTop w:val="0"/>
      <w:marBottom w:val="0"/>
      <w:divBdr>
        <w:top w:val="none" w:sz="0" w:space="0" w:color="auto"/>
        <w:left w:val="none" w:sz="0" w:space="0" w:color="auto"/>
        <w:bottom w:val="none" w:sz="0" w:space="0" w:color="auto"/>
        <w:right w:val="none" w:sz="0" w:space="0" w:color="auto"/>
      </w:divBdr>
    </w:div>
    <w:div w:id="158034878">
      <w:bodyDiv w:val="1"/>
      <w:marLeft w:val="0"/>
      <w:marRight w:val="0"/>
      <w:marTop w:val="0"/>
      <w:marBottom w:val="0"/>
      <w:divBdr>
        <w:top w:val="none" w:sz="0" w:space="0" w:color="auto"/>
        <w:left w:val="none" w:sz="0" w:space="0" w:color="auto"/>
        <w:bottom w:val="none" w:sz="0" w:space="0" w:color="auto"/>
        <w:right w:val="none" w:sz="0" w:space="0" w:color="auto"/>
      </w:divBdr>
    </w:div>
    <w:div w:id="173955583">
      <w:bodyDiv w:val="1"/>
      <w:marLeft w:val="0"/>
      <w:marRight w:val="0"/>
      <w:marTop w:val="0"/>
      <w:marBottom w:val="0"/>
      <w:divBdr>
        <w:top w:val="none" w:sz="0" w:space="0" w:color="auto"/>
        <w:left w:val="none" w:sz="0" w:space="0" w:color="auto"/>
        <w:bottom w:val="none" w:sz="0" w:space="0" w:color="auto"/>
        <w:right w:val="none" w:sz="0" w:space="0" w:color="auto"/>
      </w:divBdr>
    </w:div>
    <w:div w:id="174732009">
      <w:bodyDiv w:val="1"/>
      <w:marLeft w:val="0"/>
      <w:marRight w:val="0"/>
      <w:marTop w:val="0"/>
      <w:marBottom w:val="0"/>
      <w:divBdr>
        <w:top w:val="none" w:sz="0" w:space="0" w:color="auto"/>
        <w:left w:val="none" w:sz="0" w:space="0" w:color="auto"/>
        <w:bottom w:val="none" w:sz="0" w:space="0" w:color="auto"/>
        <w:right w:val="none" w:sz="0" w:space="0" w:color="auto"/>
      </w:divBdr>
    </w:div>
    <w:div w:id="224804313">
      <w:bodyDiv w:val="1"/>
      <w:marLeft w:val="0"/>
      <w:marRight w:val="0"/>
      <w:marTop w:val="0"/>
      <w:marBottom w:val="0"/>
      <w:divBdr>
        <w:top w:val="none" w:sz="0" w:space="0" w:color="auto"/>
        <w:left w:val="none" w:sz="0" w:space="0" w:color="auto"/>
        <w:bottom w:val="none" w:sz="0" w:space="0" w:color="auto"/>
        <w:right w:val="none" w:sz="0" w:space="0" w:color="auto"/>
      </w:divBdr>
    </w:div>
    <w:div w:id="229735049">
      <w:bodyDiv w:val="1"/>
      <w:marLeft w:val="0"/>
      <w:marRight w:val="0"/>
      <w:marTop w:val="0"/>
      <w:marBottom w:val="0"/>
      <w:divBdr>
        <w:top w:val="none" w:sz="0" w:space="0" w:color="auto"/>
        <w:left w:val="none" w:sz="0" w:space="0" w:color="auto"/>
        <w:bottom w:val="none" w:sz="0" w:space="0" w:color="auto"/>
        <w:right w:val="none" w:sz="0" w:space="0" w:color="auto"/>
      </w:divBdr>
    </w:div>
    <w:div w:id="314378057">
      <w:bodyDiv w:val="1"/>
      <w:marLeft w:val="0"/>
      <w:marRight w:val="0"/>
      <w:marTop w:val="0"/>
      <w:marBottom w:val="0"/>
      <w:divBdr>
        <w:top w:val="none" w:sz="0" w:space="0" w:color="auto"/>
        <w:left w:val="none" w:sz="0" w:space="0" w:color="auto"/>
        <w:bottom w:val="none" w:sz="0" w:space="0" w:color="auto"/>
        <w:right w:val="none" w:sz="0" w:space="0" w:color="auto"/>
      </w:divBdr>
    </w:div>
    <w:div w:id="361248169">
      <w:bodyDiv w:val="1"/>
      <w:marLeft w:val="0"/>
      <w:marRight w:val="0"/>
      <w:marTop w:val="0"/>
      <w:marBottom w:val="0"/>
      <w:divBdr>
        <w:top w:val="none" w:sz="0" w:space="0" w:color="auto"/>
        <w:left w:val="none" w:sz="0" w:space="0" w:color="auto"/>
        <w:bottom w:val="none" w:sz="0" w:space="0" w:color="auto"/>
        <w:right w:val="none" w:sz="0" w:space="0" w:color="auto"/>
      </w:divBdr>
    </w:div>
    <w:div w:id="374357999">
      <w:bodyDiv w:val="1"/>
      <w:marLeft w:val="0"/>
      <w:marRight w:val="0"/>
      <w:marTop w:val="0"/>
      <w:marBottom w:val="0"/>
      <w:divBdr>
        <w:top w:val="none" w:sz="0" w:space="0" w:color="auto"/>
        <w:left w:val="none" w:sz="0" w:space="0" w:color="auto"/>
        <w:bottom w:val="none" w:sz="0" w:space="0" w:color="auto"/>
        <w:right w:val="none" w:sz="0" w:space="0" w:color="auto"/>
      </w:divBdr>
    </w:div>
    <w:div w:id="483662272">
      <w:bodyDiv w:val="1"/>
      <w:marLeft w:val="0"/>
      <w:marRight w:val="0"/>
      <w:marTop w:val="0"/>
      <w:marBottom w:val="0"/>
      <w:divBdr>
        <w:top w:val="none" w:sz="0" w:space="0" w:color="auto"/>
        <w:left w:val="none" w:sz="0" w:space="0" w:color="auto"/>
        <w:bottom w:val="none" w:sz="0" w:space="0" w:color="auto"/>
        <w:right w:val="none" w:sz="0" w:space="0" w:color="auto"/>
      </w:divBdr>
    </w:div>
    <w:div w:id="515538169">
      <w:bodyDiv w:val="1"/>
      <w:marLeft w:val="0"/>
      <w:marRight w:val="0"/>
      <w:marTop w:val="0"/>
      <w:marBottom w:val="0"/>
      <w:divBdr>
        <w:top w:val="none" w:sz="0" w:space="0" w:color="auto"/>
        <w:left w:val="none" w:sz="0" w:space="0" w:color="auto"/>
        <w:bottom w:val="none" w:sz="0" w:space="0" w:color="auto"/>
        <w:right w:val="none" w:sz="0" w:space="0" w:color="auto"/>
      </w:divBdr>
    </w:div>
    <w:div w:id="591744798">
      <w:bodyDiv w:val="1"/>
      <w:marLeft w:val="0"/>
      <w:marRight w:val="0"/>
      <w:marTop w:val="0"/>
      <w:marBottom w:val="0"/>
      <w:divBdr>
        <w:top w:val="none" w:sz="0" w:space="0" w:color="auto"/>
        <w:left w:val="none" w:sz="0" w:space="0" w:color="auto"/>
        <w:bottom w:val="none" w:sz="0" w:space="0" w:color="auto"/>
        <w:right w:val="none" w:sz="0" w:space="0" w:color="auto"/>
      </w:divBdr>
    </w:div>
    <w:div w:id="615018059">
      <w:bodyDiv w:val="1"/>
      <w:marLeft w:val="0"/>
      <w:marRight w:val="0"/>
      <w:marTop w:val="0"/>
      <w:marBottom w:val="0"/>
      <w:divBdr>
        <w:top w:val="none" w:sz="0" w:space="0" w:color="auto"/>
        <w:left w:val="none" w:sz="0" w:space="0" w:color="auto"/>
        <w:bottom w:val="none" w:sz="0" w:space="0" w:color="auto"/>
        <w:right w:val="none" w:sz="0" w:space="0" w:color="auto"/>
      </w:divBdr>
    </w:div>
    <w:div w:id="887840023">
      <w:bodyDiv w:val="1"/>
      <w:marLeft w:val="0"/>
      <w:marRight w:val="0"/>
      <w:marTop w:val="0"/>
      <w:marBottom w:val="0"/>
      <w:divBdr>
        <w:top w:val="none" w:sz="0" w:space="0" w:color="auto"/>
        <w:left w:val="none" w:sz="0" w:space="0" w:color="auto"/>
        <w:bottom w:val="none" w:sz="0" w:space="0" w:color="auto"/>
        <w:right w:val="none" w:sz="0" w:space="0" w:color="auto"/>
      </w:divBdr>
    </w:div>
    <w:div w:id="895120659">
      <w:bodyDiv w:val="1"/>
      <w:marLeft w:val="0"/>
      <w:marRight w:val="0"/>
      <w:marTop w:val="0"/>
      <w:marBottom w:val="0"/>
      <w:divBdr>
        <w:top w:val="none" w:sz="0" w:space="0" w:color="auto"/>
        <w:left w:val="none" w:sz="0" w:space="0" w:color="auto"/>
        <w:bottom w:val="none" w:sz="0" w:space="0" w:color="auto"/>
        <w:right w:val="none" w:sz="0" w:space="0" w:color="auto"/>
      </w:divBdr>
    </w:div>
    <w:div w:id="904493146">
      <w:bodyDiv w:val="1"/>
      <w:marLeft w:val="0"/>
      <w:marRight w:val="0"/>
      <w:marTop w:val="0"/>
      <w:marBottom w:val="0"/>
      <w:divBdr>
        <w:top w:val="none" w:sz="0" w:space="0" w:color="auto"/>
        <w:left w:val="none" w:sz="0" w:space="0" w:color="auto"/>
        <w:bottom w:val="none" w:sz="0" w:space="0" w:color="auto"/>
        <w:right w:val="none" w:sz="0" w:space="0" w:color="auto"/>
      </w:divBdr>
    </w:div>
    <w:div w:id="908614857">
      <w:bodyDiv w:val="1"/>
      <w:marLeft w:val="0"/>
      <w:marRight w:val="0"/>
      <w:marTop w:val="0"/>
      <w:marBottom w:val="0"/>
      <w:divBdr>
        <w:top w:val="none" w:sz="0" w:space="0" w:color="auto"/>
        <w:left w:val="none" w:sz="0" w:space="0" w:color="auto"/>
        <w:bottom w:val="none" w:sz="0" w:space="0" w:color="auto"/>
        <w:right w:val="none" w:sz="0" w:space="0" w:color="auto"/>
      </w:divBdr>
    </w:div>
    <w:div w:id="930158129">
      <w:bodyDiv w:val="1"/>
      <w:marLeft w:val="0"/>
      <w:marRight w:val="0"/>
      <w:marTop w:val="0"/>
      <w:marBottom w:val="0"/>
      <w:divBdr>
        <w:top w:val="none" w:sz="0" w:space="0" w:color="auto"/>
        <w:left w:val="none" w:sz="0" w:space="0" w:color="auto"/>
        <w:bottom w:val="none" w:sz="0" w:space="0" w:color="auto"/>
        <w:right w:val="none" w:sz="0" w:space="0" w:color="auto"/>
      </w:divBdr>
    </w:div>
    <w:div w:id="939138613">
      <w:bodyDiv w:val="1"/>
      <w:marLeft w:val="0"/>
      <w:marRight w:val="0"/>
      <w:marTop w:val="0"/>
      <w:marBottom w:val="0"/>
      <w:divBdr>
        <w:top w:val="none" w:sz="0" w:space="0" w:color="auto"/>
        <w:left w:val="none" w:sz="0" w:space="0" w:color="auto"/>
        <w:bottom w:val="none" w:sz="0" w:space="0" w:color="auto"/>
        <w:right w:val="none" w:sz="0" w:space="0" w:color="auto"/>
      </w:divBdr>
    </w:div>
    <w:div w:id="980308100">
      <w:bodyDiv w:val="1"/>
      <w:marLeft w:val="0"/>
      <w:marRight w:val="0"/>
      <w:marTop w:val="0"/>
      <w:marBottom w:val="0"/>
      <w:divBdr>
        <w:top w:val="none" w:sz="0" w:space="0" w:color="auto"/>
        <w:left w:val="none" w:sz="0" w:space="0" w:color="auto"/>
        <w:bottom w:val="none" w:sz="0" w:space="0" w:color="auto"/>
        <w:right w:val="none" w:sz="0" w:space="0" w:color="auto"/>
      </w:divBdr>
    </w:div>
    <w:div w:id="1008755663">
      <w:bodyDiv w:val="1"/>
      <w:marLeft w:val="0"/>
      <w:marRight w:val="0"/>
      <w:marTop w:val="0"/>
      <w:marBottom w:val="0"/>
      <w:divBdr>
        <w:top w:val="none" w:sz="0" w:space="0" w:color="auto"/>
        <w:left w:val="none" w:sz="0" w:space="0" w:color="auto"/>
        <w:bottom w:val="none" w:sz="0" w:space="0" w:color="auto"/>
        <w:right w:val="none" w:sz="0" w:space="0" w:color="auto"/>
      </w:divBdr>
    </w:div>
    <w:div w:id="1011175802">
      <w:bodyDiv w:val="1"/>
      <w:marLeft w:val="0"/>
      <w:marRight w:val="0"/>
      <w:marTop w:val="0"/>
      <w:marBottom w:val="0"/>
      <w:divBdr>
        <w:top w:val="none" w:sz="0" w:space="0" w:color="auto"/>
        <w:left w:val="none" w:sz="0" w:space="0" w:color="auto"/>
        <w:bottom w:val="none" w:sz="0" w:space="0" w:color="auto"/>
        <w:right w:val="none" w:sz="0" w:space="0" w:color="auto"/>
      </w:divBdr>
    </w:div>
    <w:div w:id="1019434483">
      <w:bodyDiv w:val="1"/>
      <w:marLeft w:val="0"/>
      <w:marRight w:val="0"/>
      <w:marTop w:val="0"/>
      <w:marBottom w:val="0"/>
      <w:divBdr>
        <w:top w:val="none" w:sz="0" w:space="0" w:color="auto"/>
        <w:left w:val="none" w:sz="0" w:space="0" w:color="auto"/>
        <w:bottom w:val="none" w:sz="0" w:space="0" w:color="auto"/>
        <w:right w:val="none" w:sz="0" w:space="0" w:color="auto"/>
      </w:divBdr>
    </w:div>
    <w:div w:id="1036003824">
      <w:bodyDiv w:val="1"/>
      <w:marLeft w:val="0"/>
      <w:marRight w:val="0"/>
      <w:marTop w:val="0"/>
      <w:marBottom w:val="0"/>
      <w:divBdr>
        <w:top w:val="none" w:sz="0" w:space="0" w:color="auto"/>
        <w:left w:val="none" w:sz="0" w:space="0" w:color="auto"/>
        <w:bottom w:val="none" w:sz="0" w:space="0" w:color="auto"/>
        <w:right w:val="none" w:sz="0" w:space="0" w:color="auto"/>
      </w:divBdr>
    </w:div>
    <w:div w:id="1046374784">
      <w:bodyDiv w:val="1"/>
      <w:marLeft w:val="0"/>
      <w:marRight w:val="0"/>
      <w:marTop w:val="0"/>
      <w:marBottom w:val="0"/>
      <w:divBdr>
        <w:top w:val="none" w:sz="0" w:space="0" w:color="auto"/>
        <w:left w:val="none" w:sz="0" w:space="0" w:color="auto"/>
        <w:bottom w:val="none" w:sz="0" w:space="0" w:color="auto"/>
        <w:right w:val="none" w:sz="0" w:space="0" w:color="auto"/>
      </w:divBdr>
    </w:div>
    <w:div w:id="1073502962">
      <w:bodyDiv w:val="1"/>
      <w:marLeft w:val="0"/>
      <w:marRight w:val="0"/>
      <w:marTop w:val="0"/>
      <w:marBottom w:val="0"/>
      <w:divBdr>
        <w:top w:val="none" w:sz="0" w:space="0" w:color="auto"/>
        <w:left w:val="none" w:sz="0" w:space="0" w:color="auto"/>
        <w:bottom w:val="none" w:sz="0" w:space="0" w:color="auto"/>
        <w:right w:val="none" w:sz="0" w:space="0" w:color="auto"/>
      </w:divBdr>
    </w:div>
    <w:div w:id="1122000785">
      <w:bodyDiv w:val="1"/>
      <w:marLeft w:val="0"/>
      <w:marRight w:val="0"/>
      <w:marTop w:val="0"/>
      <w:marBottom w:val="0"/>
      <w:divBdr>
        <w:top w:val="none" w:sz="0" w:space="0" w:color="auto"/>
        <w:left w:val="none" w:sz="0" w:space="0" w:color="auto"/>
        <w:bottom w:val="none" w:sz="0" w:space="0" w:color="auto"/>
        <w:right w:val="none" w:sz="0" w:space="0" w:color="auto"/>
      </w:divBdr>
    </w:div>
    <w:div w:id="1133597958">
      <w:bodyDiv w:val="1"/>
      <w:marLeft w:val="0"/>
      <w:marRight w:val="0"/>
      <w:marTop w:val="0"/>
      <w:marBottom w:val="0"/>
      <w:divBdr>
        <w:top w:val="none" w:sz="0" w:space="0" w:color="auto"/>
        <w:left w:val="none" w:sz="0" w:space="0" w:color="auto"/>
        <w:bottom w:val="none" w:sz="0" w:space="0" w:color="auto"/>
        <w:right w:val="none" w:sz="0" w:space="0" w:color="auto"/>
      </w:divBdr>
    </w:div>
    <w:div w:id="1242834747">
      <w:bodyDiv w:val="1"/>
      <w:marLeft w:val="0"/>
      <w:marRight w:val="0"/>
      <w:marTop w:val="0"/>
      <w:marBottom w:val="0"/>
      <w:divBdr>
        <w:top w:val="none" w:sz="0" w:space="0" w:color="auto"/>
        <w:left w:val="none" w:sz="0" w:space="0" w:color="auto"/>
        <w:bottom w:val="none" w:sz="0" w:space="0" w:color="auto"/>
        <w:right w:val="none" w:sz="0" w:space="0" w:color="auto"/>
      </w:divBdr>
    </w:div>
    <w:div w:id="1284386935">
      <w:bodyDiv w:val="1"/>
      <w:marLeft w:val="0"/>
      <w:marRight w:val="0"/>
      <w:marTop w:val="0"/>
      <w:marBottom w:val="0"/>
      <w:divBdr>
        <w:top w:val="none" w:sz="0" w:space="0" w:color="auto"/>
        <w:left w:val="none" w:sz="0" w:space="0" w:color="auto"/>
        <w:bottom w:val="none" w:sz="0" w:space="0" w:color="auto"/>
        <w:right w:val="none" w:sz="0" w:space="0" w:color="auto"/>
      </w:divBdr>
    </w:div>
    <w:div w:id="1330908692">
      <w:bodyDiv w:val="1"/>
      <w:marLeft w:val="0"/>
      <w:marRight w:val="0"/>
      <w:marTop w:val="0"/>
      <w:marBottom w:val="0"/>
      <w:divBdr>
        <w:top w:val="none" w:sz="0" w:space="0" w:color="auto"/>
        <w:left w:val="none" w:sz="0" w:space="0" w:color="auto"/>
        <w:bottom w:val="none" w:sz="0" w:space="0" w:color="auto"/>
        <w:right w:val="none" w:sz="0" w:space="0" w:color="auto"/>
      </w:divBdr>
    </w:div>
    <w:div w:id="1336610735">
      <w:bodyDiv w:val="1"/>
      <w:marLeft w:val="0"/>
      <w:marRight w:val="0"/>
      <w:marTop w:val="0"/>
      <w:marBottom w:val="0"/>
      <w:divBdr>
        <w:top w:val="none" w:sz="0" w:space="0" w:color="auto"/>
        <w:left w:val="none" w:sz="0" w:space="0" w:color="auto"/>
        <w:bottom w:val="none" w:sz="0" w:space="0" w:color="auto"/>
        <w:right w:val="none" w:sz="0" w:space="0" w:color="auto"/>
      </w:divBdr>
    </w:div>
    <w:div w:id="1449083368">
      <w:bodyDiv w:val="1"/>
      <w:marLeft w:val="0"/>
      <w:marRight w:val="0"/>
      <w:marTop w:val="0"/>
      <w:marBottom w:val="0"/>
      <w:divBdr>
        <w:top w:val="none" w:sz="0" w:space="0" w:color="auto"/>
        <w:left w:val="none" w:sz="0" w:space="0" w:color="auto"/>
        <w:bottom w:val="none" w:sz="0" w:space="0" w:color="auto"/>
        <w:right w:val="none" w:sz="0" w:space="0" w:color="auto"/>
      </w:divBdr>
    </w:div>
    <w:div w:id="1512793978">
      <w:bodyDiv w:val="1"/>
      <w:marLeft w:val="0"/>
      <w:marRight w:val="0"/>
      <w:marTop w:val="0"/>
      <w:marBottom w:val="0"/>
      <w:divBdr>
        <w:top w:val="none" w:sz="0" w:space="0" w:color="auto"/>
        <w:left w:val="none" w:sz="0" w:space="0" w:color="auto"/>
        <w:bottom w:val="none" w:sz="0" w:space="0" w:color="auto"/>
        <w:right w:val="none" w:sz="0" w:space="0" w:color="auto"/>
      </w:divBdr>
    </w:div>
    <w:div w:id="1513957076">
      <w:bodyDiv w:val="1"/>
      <w:marLeft w:val="0"/>
      <w:marRight w:val="0"/>
      <w:marTop w:val="0"/>
      <w:marBottom w:val="0"/>
      <w:divBdr>
        <w:top w:val="none" w:sz="0" w:space="0" w:color="auto"/>
        <w:left w:val="none" w:sz="0" w:space="0" w:color="auto"/>
        <w:bottom w:val="none" w:sz="0" w:space="0" w:color="auto"/>
        <w:right w:val="none" w:sz="0" w:space="0" w:color="auto"/>
      </w:divBdr>
    </w:div>
    <w:div w:id="1534269207">
      <w:bodyDiv w:val="1"/>
      <w:marLeft w:val="0"/>
      <w:marRight w:val="0"/>
      <w:marTop w:val="0"/>
      <w:marBottom w:val="0"/>
      <w:divBdr>
        <w:top w:val="none" w:sz="0" w:space="0" w:color="auto"/>
        <w:left w:val="none" w:sz="0" w:space="0" w:color="auto"/>
        <w:bottom w:val="none" w:sz="0" w:space="0" w:color="auto"/>
        <w:right w:val="none" w:sz="0" w:space="0" w:color="auto"/>
      </w:divBdr>
    </w:div>
    <w:div w:id="1535265561">
      <w:bodyDiv w:val="1"/>
      <w:marLeft w:val="0"/>
      <w:marRight w:val="0"/>
      <w:marTop w:val="0"/>
      <w:marBottom w:val="0"/>
      <w:divBdr>
        <w:top w:val="none" w:sz="0" w:space="0" w:color="auto"/>
        <w:left w:val="none" w:sz="0" w:space="0" w:color="auto"/>
        <w:bottom w:val="none" w:sz="0" w:space="0" w:color="auto"/>
        <w:right w:val="none" w:sz="0" w:space="0" w:color="auto"/>
      </w:divBdr>
    </w:div>
    <w:div w:id="1559974485">
      <w:bodyDiv w:val="1"/>
      <w:marLeft w:val="0"/>
      <w:marRight w:val="0"/>
      <w:marTop w:val="0"/>
      <w:marBottom w:val="0"/>
      <w:divBdr>
        <w:top w:val="none" w:sz="0" w:space="0" w:color="auto"/>
        <w:left w:val="none" w:sz="0" w:space="0" w:color="auto"/>
        <w:bottom w:val="none" w:sz="0" w:space="0" w:color="auto"/>
        <w:right w:val="none" w:sz="0" w:space="0" w:color="auto"/>
      </w:divBdr>
    </w:div>
    <w:div w:id="1656837144">
      <w:bodyDiv w:val="1"/>
      <w:marLeft w:val="0"/>
      <w:marRight w:val="0"/>
      <w:marTop w:val="0"/>
      <w:marBottom w:val="0"/>
      <w:divBdr>
        <w:top w:val="none" w:sz="0" w:space="0" w:color="auto"/>
        <w:left w:val="none" w:sz="0" w:space="0" w:color="auto"/>
        <w:bottom w:val="none" w:sz="0" w:space="0" w:color="auto"/>
        <w:right w:val="none" w:sz="0" w:space="0" w:color="auto"/>
      </w:divBdr>
    </w:div>
    <w:div w:id="1717659012">
      <w:bodyDiv w:val="1"/>
      <w:marLeft w:val="0"/>
      <w:marRight w:val="0"/>
      <w:marTop w:val="0"/>
      <w:marBottom w:val="0"/>
      <w:divBdr>
        <w:top w:val="none" w:sz="0" w:space="0" w:color="auto"/>
        <w:left w:val="none" w:sz="0" w:space="0" w:color="auto"/>
        <w:bottom w:val="none" w:sz="0" w:space="0" w:color="auto"/>
        <w:right w:val="none" w:sz="0" w:space="0" w:color="auto"/>
      </w:divBdr>
    </w:div>
    <w:div w:id="1723022085">
      <w:bodyDiv w:val="1"/>
      <w:marLeft w:val="0"/>
      <w:marRight w:val="0"/>
      <w:marTop w:val="0"/>
      <w:marBottom w:val="0"/>
      <w:divBdr>
        <w:top w:val="none" w:sz="0" w:space="0" w:color="auto"/>
        <w:left w:val="none" w:sz="0" w:space="0" w:color="auto"/>
        <w:bottom w:val="none" w:sz="0" w:space="0" w:color="auto"/>
        <w:right w:val="none" w:sz="0" w:space="0" w:color="auto"/>
      </w:divBdr>
    </w:div>
    <w:div w:id="1737168916">
      <w:bodyDiv w:val="1"/>
      <w:marLeft w:val="0"/>
      <w:marRight w:val="0"/>
      <w:marTop w:val="0"/>
      <w:marBottom w:val="0"/>
      <w:divBdr>
        <w:top w:val="none" w:sz="0" w:space="0" w:color="auto"/>
        <w:left w:val="none" w:sz="0" w:space="0" w:color="auto"/>
        <w:bottom w:val="none" w:sz="0" w:space="0" w:color="auto"/>
        <w:right w:val="none" w:sz="0" w:space="0" w:color="auto"/>
      </w:divBdr>
    </w:div>
    <w:div w:id="1741826694">
      <w:bodyDiv w:val="1"/>
      <w:marLeft w:val="0"/>
      <w:marRight w:val="0"/>
      <w:marTop w:val="0"/>
      <w:marBottom w:val="0"/>
      <w:divBdr>
        <w:top w:val="none" w:sz="0" w:space="0" w:color="auto"/>
        <w:left w:val="none" w:sz="0" w:space="0" w:color="auto"/>
        <w:bottom w:val="none" w:sz="0" w:space="0" w:color="auto"/>
        <w:right w:val="none" w:sz="0" w:space="0" w:color="auto"/>
      </w:divBdr>
    </w:div>
    <w:div w:id="1759402707">
      <w:bodyDiv w:val="1"/>
      <w:marLeft w:val="0"/>
      <w:marRight w:val="0"/>
      <w:marTop w:val="0"/>
      <w:marBottom w:val="0"/>
      <w:divBdr>
        <w:top w:val="none" w:sz="0" w:space="0" w:color="auto"/>
        <w:left w:val="none" w:sz="0" w:space="0" w:color="auto"/>
        <w:bottom w:val="none" w:sz="0" w:space="0" w:color="auto"/>
        <w:right w:val="none" w:sz="0" w:space="0" w:color="auto"/>
      </w:divBdr>
    </w:div>
    <w:div w:id="1800224982">
      <w:bodyDiv w:val="1"/>
      <w:marLeft w:val="0"/>
      <w:marRight w:val="0"/>
      <w:marTop w:val="0"/>
      <w:marBottom w:val="0"/>
      <w:divBdr>
        <w:top w:val="none" w:sz="0" w:space="0" w:color="auto"/>
        <w:left w:val="none" w:sz="0" w:space="0" w:color="auto"/>
        <w:bottom w:val="none" w:sz="0" w:space="0" w:color="auto"/>
        <w:right w:val="none" w:sz="0" w:space="0" w:color="auto"/>
      </w:divBdr>
    </w:div>
    <w:div w:id="1812483571">
      <w:bodyDiv w:val="1"/>
      <w:marLeft w:val="0"/>
      <w:marRight w:val="0"/>
      <w:marTop w:val="0"/>
      <w:marBottom w:val="0"/>
      <w:divBdr>
        <w:top w:val="none" w:sz="0" w:space="0" w:color="auto"/>
        <w:left w:val="none" w:sz="0" w:space="0" w:color="auto"/>
        <w:bottom w:val="none" w:sz="0" w:space="0" w:color="auto"/>
        <w:right w:val="none" w:sz="0" w:space="0" w:color="auto"/>
      </w:divBdr>
    </w:div>
    <w:div w:id="1814180079">
      <w:bodyDiv w:val="1"/>
      <w:marLeft w:val="0"/>
      <w:marRight w:val="0"/>
      <w:marTop w:val="0"/>
      <w:marBottom w:val="0"/>
      <w:divBdr>
        <w:top w:val="none" w:sz="0" w:space="0" w:color="auto"/>
        <w:left w:val="none" w:sz="0" w:space="0" w:color="auto"/>
        <w:bottom w:val="none" w:sz="0" w:space="0" w:color="auto"/>
        <w:right w:val="none" w:sz="0" w:space="0" w:color="auto"/>
      </w:divBdr>
    </w:div>
    <w:div w:id="1815490727">
      <w:bodyDiv w:val="1"/>
      <w:marLeft w:val="0"/>
      <w:marRight w:val="0"/>
      <w:marTop w:val="0"/>
      <w:marBottom w:val="0"/>
      <w:divBdr>
        <w:top w:val="none" w:sz="0" w:space="0" w:color="auto"/>
        <w:left w:val="none" w:sz="0" w:space="0" w:color="auto"/>
        <w:bottom w:val="none" w:sz="0" w:space="0" w:color="auto"/>
        <w:right w:val="none" w:sz="0" w:space="0" w:color="auto"/>
      </w:divBdr>
    </w:div>
    <w:div w:id="1837769848">
      <w:bodyDiv w:val="1"/>
      <w:marLeft w:val="0"/>
      <w:marRight w:val="0"/>
      <w:marTop w:val="0"/>
      <w:marBottom w:val="0"/>
      <w:divBdr>
        <w:top w:val="none" w:sz="0" w:space="0" w:color="auto"/>
        <w:left w:val="none" w:sz="0" w:space="0" w:color="auto"/>
        <w:bottom w:val="none" w:sz="0" w:space="0" w:color="auto"/>
        <w:right w:val="none" w:sz="0" w:space="0" w:color="auto"/>
      </w:divBdr>
    </w:div>
    <w:div w:id="1845239694">
      <w:bodyDiv w:val="1"/>
      <w:marLeft w:val="0"/>
      <w:marRight w:val="0"/>
      <w:marTop w:val="0"/>
      <w:marBottom w:val="0"/>
      <w:divBdr>
        <w:top w:val="none" w:sz="0" w:space="0" w:color="auto"/>
        <w:left w:val="none" w:sz="0" w:space="0" w:color="auto"/>
        <w:bottom w:val="none" w:sz="0" w:space="0" w:color="auto"/>
        <w:right w:val="none" w:sz="0" w:space="0" w:color="auto"/>
      </w:divBdr>
    </w:div>
    <w:div w:id="1892570203">
      <w:bodyDiv w:val="1"/>
      <w:marLeft w:val="0"/>
      <w:marRight w:val="0"/>
      <w:marTop w:val="0"/>
      <w:marBottom w:val="0"/>
      <w:divBdr>
        <w:top w:val="none" w:sz="0" w:space="0" w:color="auto"/>
        <w:left w:val="none" w:sz="0" w:space="0" w:color="auto"/>
        <w:bottom w:val="none" w:sz="0" w:space="0" w:color="auto"/>
        <w:right w:val="none" w:sz="0" w:space="0" w:color="auto"/>
      </w:divBdr>
    </w:div>
    <w:div w:id="1896696468">
      <w:bodyDiv w:val="1"/>
      <w:marLeft w:val="0"/>
      <w:marRight w:val="0"/>
      <w:marTop w:val="0"/>
      <w:marBottom w:val="0"/>
      <w:divBdr>
        <w:top w:val="none" w:sz="0" w:space="0" w:color="auto"/>
        <w:left w:val="none" w:sz="0" w:space="0" w:color="auto"/>
        <w:bottom w:val="none" w:sz="0" w:space="0" w:color="auto"/>
        <w:right w:val="none" w:sz="0" w:space="0" w:color="auto"/>
      </w:divBdr>
    </w:div>
    <w:div w:id="190992217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63924683">
      <w:bodyDiv w:val="1"/>
      <w:marLeft w:val="0"/>
      <w:marRight w:val="0"/>
      <w:marTop w:val="0"/>
      <w:marBottom w:val="0"/>
      <w:divBdr>
        <w:top w:val="none" w:sz="0" w:space="0" w:color="auto"/>
        <w:left w:val="none" w:sz="0" w:space="0" w:color="auto"/>
        <w:bottom w:val="none" w:sz="0" w:space="0" w:color="auto"/>
        <w:right w:val="none" w:sz="0" w:space="0" w:color="auto"/>
      </w:divBdr>
    </w:div>
    <w:div w:id="1977949599">
      <w:bodyDiv w:val="1"/>
      <w:marLeft w:val="0"/>
      <w:marRight w:val="0"/>
      <w:marTop w:val="0"/>
      <w:marBottom w:val="0"/>
      <w:divBdr>
        <w:top w:val="none" w:sz="0" w:space="0" w:color="auto"/>
        <w:left w:val="none" w:sz="0" w:space="0" w:color="auto"/>
        <w:bottom w:val="none" w:sz="0" w:space="0" w:color="auto"/>
        <w:right w:val="none" w:sz="0" w:space="0" w:color="auto"/>
      </w:divBdr>
    </w:div>
    <w:div w:id="1996951778">
      <w:bodyDiv w:val="1"/>
      <w:marLeft w:val="0"/>
      <w:marRight w:val="0"/>
      <w:marTop w:val="0"/>
      <w:marBottom w:val="0"/>
      <w:divBdr>
        <w:top w:val="none" w:sz="0" w:space="0" w:color="auto"/>
        <w:left w:val="none" w:sz="0" w:space="0" w:color="auto"/>
        <w:bottom w:val="none" w:sz="0" w:space="0" w:color="auto"/>
        <w:right w:val="none" w:sz="0" w:space="0" w:color="auto"/>
      </w:divBdr>
    </w:div>
    <w:div w:id="2016883751">
      <w:bodyDiv w:val="1"/>
      <w:marLeft w:val="0"/>
      <w:marRight w:val="0"/>
      <w:marTop w:val="0"/>
      <w:marBottom w:val="0"/>
      <w:divBdr>
        <w:top w:val="none" w:sz="0" w:space="0" w:color="auto"/>
        <w:left w:val="none" w:sz="0" w:space="0" w:color="auto"/>
        <w:bottom w:val="none" w:sz="0" w:space="0" w:color="auto"/>
        <w:right w:val="none" w:sz="0" w:space="0" w:color="auto"/>
      </w:divBdr>
    </w:div>
    <w:div w:id="2043170214">
      <w:bodyDiv w:val="1"/>
      <w:marLeft w:val="0"/>
      <w:marRight w:val="0"/>
      <w:marTop w:val="0"/>
      <w:marBottom w:val="0"/>
      <w:divBdr>
        <w:top w:val="none" w:sz="0" w:space="0" w:color="auto"/>
        <w:left w:val="none" w:sz="0" w:space="0" w:color="auto"/>
        <w:bottom w:val="none" w:sz="0" w:space="0" w:color="auto"/>
        <w:right w:val="none" w:sz="0" w:space="0" w:color="auto"/>
      </w:divBdr>
    </w:div>
    <w:div w:id="2077821958">
      <w:bodyDiv w:val="1"/>
      <w:marLeft w:val="0"/>
      <w:marRight w:val="0"/>
      <w:marTop w:val="0"/>
      <w:marBottom w:val="0"/>
      <w:divBdr>
        <w:top w:val="none" w:sz="0" w:space="0" w:color="auto"/>
        <w:left w:val="none" w:sz="0" w:space="0" w:color="auto"/>
        <w:bottom w:val="none" w:sz="0" w:space="0" w:color="auto"/>
        <w:right w:val="none" w:sz="0" w:space="0" w:color="auto"/>
      </w:divBdr>
    </w:div>
    <w:div w:id="2105412863">
      <w:bodyDiv w:val="1"/>
      <w:marLeft w:val="0"/>
      <w:marRight w:val="0"/>
      <w:marTop w:val="0"/>
      <w:marBottom w:val="0"/>
      <w:divBdr>
        <w:top w:val="none" w:sz="0" w:space="0" w:color="auto"/>
        <w:left w:val="none" w:sz="0" w:space="0" w:color="auto"/>
        <w:bottom w:val="none" w:sz="0" w:space="0" w:color="auto"/>
        <w:right w:val="none" w:sz="0" w:space="0" w:color="auto"/>
      </w:divBdr>
    </w:div>
    <w:div w:id="21071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75196232339092E-2"/>
          <c:y val="0.12905527782658002"/>
          <c:w val="0.86560610958112993"/>
          <c:h val="0.76077951395971877"/>
        </c:manualLayout>
      </c:layout>
      <c:barChart>
        <c:barDir val="col"/>
        <c:grouping val="stacked"/>
        <c:varyColors val="0"/>
        <c:ser>
          <c:idx val="0"/>
          <c:order val="0"/>
          <c:tx>
            <c:strRef>
              <c:f>Sheet1!$B$1</c:f>
              <c:strCache>
                <c:ptCount val="1"/>
                <c:pt idx="0">
                  <c:v>Yıllar</c:v>
                </c:pt>
              </c:strCache>
            </c:strRef>
          </c:tx>
          <c:spPr>
            <a:solidFill>
              <a:srgbClr val="5B9BD5"/>
            </a:solidFill>
            <a:ln>
              <a:noFill/>
            </a:ln>
            <a:effectLst/>
          </c:spPr>
          <c:invertIfNegative val="1"/>
          <c:dPt>
            <c:idx val="0"/>
            <c:invertIfNegative val="1"/>
            <c:bubble3D val="0"/>
            <c:extLst>
              <c:ext xmlns:c16="http://schemas.microsoft.com/office/drawing/2014/chart" uri="{C3380CC4-5D6E-409C-BE32-E72D297353CC}">
                <c16:uniqueId val="{00000000-08E5-4AC8-87C3-72B5F3D13789}"/>
              </c:ext>
            </c:extLst>
          </c:dPt>
          <c:dPt>
            <c:idx val="6"/>
            <c:invertIfNegative val="0"/>
            <c:bubble3D val="0"/>
            <c:extLst>
              <c:ext xmlns:c16="http://schemas.microsoft.com/office/drawing/2014/chart" uri="{C3380CC4-5D6E-409C-BE32-E72D297353CC}">
                <c16:uniqueId val="{00000001-08E5-4AC8-87C3-72B5F3D13789}"/>
              </c:ext>
            </c:extLst>
          </c:dPt>
          <c:dPt>
            <c:idx val="7"/>
            <c:invertIfNegative val="1"/>
            <c:bubble3D val="0"/>
            <c:extLst>
              <c:ext xmlns:c16="http://schemas.microsoft.com/office/drawing/2014/chart" uri="{C3380CC4-5D6E-409C-BE32-E72D297353CC}">
                <c16:uniqueId val="{00000002-08E5-4AC8-87C3-72B5F3D13789}"/>
              </c:ext>
            </c:extLst>
          </c:dPt>
          <c:dLbls>
            <c:spPr>
              <a:noFill/>
              <a:ln>
                <a:noFill/>
              </a:ln>
              <a:effectLst/>
            </c:spPr>
            <c:txPr>
              <a:bodyPr rot="0" spcFirstLastPara="1" vertOverflow="ellipsis" vert="horz" wrap="square" lIns="38100" tIns="19050" rIns="38100" bIns="19050" anchor="ctr" anchorCtr="1">
                <a:spAutoFit/>
              </a:bodyPr>
              <a:lstStyle/>
              <a:p>
                <a:pPr>
                  <a:defRPr sz="998" b="0" i="0" u="none" strike="noStrike" kern="1200" baseline="0">
                    <a:solidFill>
                      <a:srgbClr val="000000"/>
                    </a:solidFill>
                    <a:latin typeface="Trebuchet MS"/>
                    <a:ea typeface="Trebuchet MS"/>
                    <a:cs typeface="Trebuchet M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Sheet1!$A$2:$A$19</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numRef>
          </c:cat>
          <c:val>
            <c:numRef>
              <c:f>Sheet1!$B$2:$B$19</c:f>
              <c:numCache>
                <c:formatCode>#,##0</c:formatCode>
                <c:ptCount val="18"/>
                <c:pt idx="0">
                  <c:v>24694445967.937004</c:v>
                </c:pt>
                <c:pt idx="1">
                  <c:v>20122950185.193058</c:v>
                </c:pt>
                <c:pt idx="2">
                  <c:v>23372601438.542095</c:v>
                </c:pt>
                <c:pt idx="3">
                  <c:v>24772197116.52935</c:v>
                </c:pt>
                <c:pt idx="4">
                  <c:v>31689151934.283722</c:v>
                </c:pt>
                <c:pt idx="5">
                  <c:v>31230438468.606331</c:v>
                </c:pt>
                <c:pt idx="6">
                  <c:v>26834625099.011932</c:v>
                </c:pt>
                <c:pt idx="7">
                  <c:v>24048599377.251881</c:v>
                </c:pt>
                <c:pt idx="8">
                  <c:v>15024843404.078648</c:v>
                </c:pt>
                <c:pt idx="9">
                  <c:v>17868257459.496101</c:v>
                </c:pt>
                <c:pt idx="10">
                  <c:v>22681305531.361599</c:v>
                </c:pt>
                <c:pt idx="11">
                  <c:v>19954016557.895802</c:v>
                </c:pt>
                <c:pt idx="12">
                  <c:v>17150424794.473944</c:v>
                </c:pt>
                <c:pt idx="13">
                  <c:v>31790733555.306038</c:v>
                </c:pt>
                <c:pt idx="14">
                  <c:v>20138392529.923618</c:v>
                </c:pt>
                <c:pt idx="15">
                  <c:v>28584998004.122597</c:v>
                </c:pt>
                <c:pt idx="16">
                  <c:v>30181617805.358986</c:v>
                </c:pt>
                <c:pt idx="17">
                  <c:v>4095917065.34972</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4-08E5-4AC8-87C3-72B5F3D13789}"/>
            </c:ext>
          </c:extLst>
        </c:ser>
        <c:dLbls>
          <c:showLegendKey val="0"/>
          <c:showVal val="1"/>
          <c:showCatName val="0"/>
          <c:showSerName val="0"/>
          <c:showPercent val="0"/>
          <c:showBubbleSize val="0"/>
        </c:dLbls>
        <c:gapWidth val="210"/>
        <c:overlap val="-10"/>
        <c:axId val="142852336"/>
        <c:axId val="142847632"/>
      </c:barChart>
      <c:lineChart>
        <c:grouping val="standard"/>
        <c:varyColors val="0"/>
        <c:ser>
          <c:idx val="1"/>
          <c:order val="1"/>
          <c:tx>
            <c:strRef>
              <c:f>Sheet1!$C$1</c:f>
              <c:strCache>
                <c:ptCount val="1"/>
                <c:pt idx="0">
                  <c:v>Toplam</c:v>
                </c:pt>
              </c:strCache>
            </c:strRef>
          </c:tx>
          <c:spPr>
            <a:ln w="19050" cap="rnd" cmpd="sng" algn="ctr">
              <a:solidFill>
                <a:schemeClr val="accent2"/>
              </a:solidFill>
              <a:prstDash val="solid"/>
              <a:round/>
            </a:ln>
            <a:effectLst/>
          </c:spPr>
          <c:marker>
            <c:symbol val="circle"/>
            <c:size val="2"/>
            <c:spPr>
              <a:solidFill>
                <a:schemeClr val="accent2"/>
              </a:solidFill>
              <a:ln w="6350" cap="flat" cmpd="sng" algn="ctr">
                <a:solidFill>
                  <a:schemeClr val="accent2"/>
                </a:solidFill>
                <a:prstDash val="solid"/>
                <a:round/>
              </a:ln>
              <a:effectLst/>
            </c:spPr>
          </c:marker>
          <c:dLbls>
            <c:delete val="1"/>
          </c:dLbls>
          <c:cat>
            <c:numRef>
              <c:f>Sheet1!$A$2:$A$19</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numRef>
          </c:cat>
          <c:val>
            <c:numRef>
              <c:f>Sheet1!$C$2:$C$19</c:f>
              <c:numCache>
                <c:formatCode>#,##0</c:formatCode>
                <c:ptCount val="18"/>
                <c:pt idx="0">
                  <c:v>150441519821.89685</c:v>
                </c:pt>
                <c:pt idx="1">
                  <c:v>170564470007.0899</c:v>
                </c:pt>
                <c:pt idx="2">
                  <c:v>193937071445.63199</c:v>
                </c:pt>
                <c:pt idx="3">
                  <c:v>218709268562.16135</c:v>
                </c:pt>
                <c:pt idx="4">
                  <c:v>250398420496.44507</c:v>
                </c:pt>
                <c:pt idx="5">
                  <c:v>281628858965.05139</c:v>
                </c:pt>
                <c:pt idx="6">
                  <c:v>308463484064.06335</c:v>
                </c:pt>
                <c:pt idx="7">
                  <c:v>332512083441.31525</c:v>
                </c:pt>
                <c:pt idx="8">
                  <c:v>347536926845.39392</c:v>
                </c:pt>
                <c:pt idx="9">
                  <c:v>365405184304.89001</c:v>
                </c:pt>
                <c:pt idx="10">
                  <c:v>388086489836.25159</c:v>
                </c:pt>
                <c:pt idx="11">
                  <c:v>408040506394.1474</c:v>
                </c:pt>
                <c:pt idx="12">
                  <c:v>425190931188.62134</c:v>
                </c:pt>
                <c:pt idx="13">
                  <c:v>456981664743.92737</c:v>
                </c:pt>
                <c:pt idx="14">
                  <c:v>477120057273.85101</c:v>
                </c:pt>
                <c:pt idx="15">
                  <c:v>505705055277.97363</c:v>
                </c:pt>
                <c:pt idx="16">
                  <c:v>535886673083.33264</c:v>
                </c:pt>
                <c:pt idx="17">
                  <c:v>539982590148.68237</c:v>
                </c:pt>
              </c:numCache>
            </c:numRef>
          </c:val>
          <c:smooth val="0"/>
          <c:extLst>
            <c:ext xmlns:c16="http://schemas.microsoft.com/office/drawing/2014/chart" uri="{C3380CC4-5D6E-409C-BE32-E72D297353CC}">
              <c16:uniqueId val="{00000008-08E5-4AC8-87C3-72B5F3D13789}"/>
            </c:ext>
          </c:extLst>
        </c:ser>
        <c:dLbls>
          <c:showLegendKey val="0"/>
          <c:showVal val="1"/>
          <c:showCatName val="0"/>
          <c:showSerName val="0"/>
          <c:showPercent val="0"/>
          <c:showBubbleSize val="0"/>
        </c:dLbls>
        <c:marker val="1"/>
        <c:smooth val="0"/>
        <c:axId val="142852728"/>
        <c:axId val="142853512"/>
      </c:lineChart>
      <c:catAx>
        <c:axId val="142852336"/>
        <c:scaling>
          <c:orientation val="minMax"/>
        </c:scaling>
        <c:delete val="0"/>
        <c:axPos val="b"/>
        <c:numFmt formatCode="General" sourceLinked="1"/>
        <c:majorTickMark val="out"/>
        <c:minorTickMark val="none"/>
        <c:tickLblPos val="nextTo"/>
        <c:spPr>
          <a:noFill/>
          <a:ln w="3167" cap="flat" cmpd="sng" algn="ctr">
            <a:solidFill>
              <a:srgbClr val="000000"/>
            </a:solid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47632"/>
        <c:crosses val="autoZero"/>
        <c:auto val="1"/>
        <c:lblAlgn val="ctr"/>
        <c:lblOffset val="100"/>
        <c:tickLblSkip val="1"/>
        <c:tickMarkSkip val="1"/>
        <c:noMultiLvlLbl val="1"/>
      </c:catAx>
      <c:valAx>
        <c:axId val="142847632"/>
        <c:scaling>
          <c:orientation val="minMax"/>
        </c:scaling>
        <c:delete val="0"/>
        <c:axPos val="l"/>
        <c:majorGridlines>
          <c:spPr>
            <a:ln w="12663" cap="flat" cmpd="sng" algn="ctr">
              <a:solidFill>
                <a:srgbClr val="C0C0C0"/>
              </a:solidFill>
              <a:prstDash val="solid"/>
              <a:round/>
            </a:ln>
            <a:effectLst/>
          </c:spPr>
        </c:majorGridlines>
        <c:numFmt formatCode="#,##0" sourceLinked="1"/>
        <c:majorTickMark val="out"/>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336"/>
        <c:crosses val="autoZero"/>
        <c:crossBetween val="between"/>
        <c:dispUnits>
          <c:builtInUnit val="billions"/>
        </c:dispUnits>
      </c:valAx>
      <c:catAx>
        <c:axId val="142852728"/>
        <c:scaling>
          <c:orientation val="minMax"/>
        </c:scaling>
        <c:delete val="1"/>
        <c:axPos val="b"/>
        <c:numFmt formatCode="General" sourceLinked="1"/>
        <c:majorTickMark val="out"/>
        <c:minorTickMark val="none"/>
        <c:tickLblPos val="none"/>
        <c:crossAx val="142853512"/>
        <c:crosses val="autoZero"/>
        <c:auto val="1"/>
        <c:lblAlgn val="ctr"/>
        <c:lblOffset val="100"/>
        <c:noMultiLvlLbl val="1"/>
      </c:catAx>
      <c:valAx>
        <c:axId val="142853512"/>
        <c:scaling>
          <c:orientation val="minMax"/>
        </c:scaling>
        <c:delete val="0"/>
        <c:axPos val="r"/>
        <c:numFmt formatCode="#,##0" sourceLinked="1"/>
        <c:majorTickMark val="cross"/>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728"/>
        <c:crosses val="max"/>
        <c:crossBetween val="between"/>
        <c:dispUnits>
          <c:builtInUnit val="billions"/>
          <c:dispUnitsLbl>
            <c:layout>
              <c:manualLayout>
                <c:xMode val="edge"/>
                <c:yMode val="edge"/>
                <c:x val="0.96563895030362579"/>
                <c:y val="0.39084105637237831"/>
              </c:manualLayout>
            </c:layout>
            <c:tx>
              <c:rich>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r>
                    <a:rPr lang="tr-TR" sz="1100"/>
                    <a:t>Milyar Dolar</a:t>
                  </a:r>
                </a:p>
              </c:rich>
            </c:tx>
            <c:spPr>
              <a:noFill/>
              <a:ln w="25347">
                <a:noFill/>
              </a:ln>
              <a:effectLst/>
            </c:spPr>
            <c:txPr>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endParaRPr lang="tr-TR"/>
              </a:p>
            </c:txPr>
          </c:dispUnitsLbl>
        </c:dispUnits>
      </c:valAx>
      <c:spPr>
        <a:solidFill>
          <a:schemeClr val="bg1"/>
        </a:solidFill>
        <a:ln>
          <a:noFill/>
        </a:ln>
        <a:effectLst/>
      </c:spPr>
    </c:plotArea>
    <c:plotVisOnly val="1"/>
    <c:dispBlanksAs val="gap"/>
    <c:showDLblsOverMax val="0"/>
  </c:chart>
  <c:spPr>
    <a:noFill/>
    <a:ln w="6350" cap="flat" cmpd="dbl" algn="ctr">
      <a:solidFill>
        <a:srgbClr val="4684EE"/>
      </a:solidFill>
      <a:prstDash val="solid"/>
      <a:round/>
    </a:ln>
    <a:effectLst/>
  </c:spPr>
  <c:txPr>
    <a:bodyPr/>
    <a:lstStyle/>
    <a:p>
      <a:pPr>
        <a:defRPr sz="998" b="0" i="0" u="none" strike="noStrike" baseline="0">
          <a:solidFill>
            <a:srgbClr val="000000"/>
          </a:solidFill>
          <a:latin typeface="Trebuchet MS"/>
          <a:ea typeface="Trebuchet MS"/>
          <a:cs typeface="Trebuchet MS"/>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0.057</cdr:x>
      <cdr:y>0.068</cdr:y>
    </cdr:from>
    <cdr:to>
      <cdr:x>0.04275</cdr:x>
      <cdr:y>0.06125</cdr:y>
    </cdr:to>
    <cdr:sp macro="" textlink="">
      <cdr:nvSpPr>
        <cdr:cNvPr id="2" name="TextBox 1"/>
        <cdr:cNvSpPr txBox="1"/>
      </cdr:nvSpPr>
      <cdr:spPr>
        <a:xfrm xmlns:a="http://schemas.openxmlformats.org/drawingml/2006/main">
          <a:off x="609600" y="228600"/>
          <a:ext cx="41148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C62F-F431-4FD6-A7D8-EE6B560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7</Pages>
  <Words>2677</Words>
  <Characters>15260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Cihat MEMİŞ</dc:creator>
  <cp:keywords/>
  <dc:description/>
  <cp:lastModifiedBy>Oğuz Tekindaş</cp:lastModifiedBy>
  <cp:revision>126</cp:revision>
  <cp:lastPrinted>2017-12-08T13:44:00Z</cp:lastPrinted>
  <dcterms:created xsi:type="dcterms:W3CDTF">2024-06-05T13:10:00Z</dcterms:created>
  <dcterms:modified xsi:type="dcterms:W3CDTF">2025-05-08T13:28:00Z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user=10894708210</vt:lpwstr>
  </property>
  <property fmtid="{D5CDD505-2E9C-101B-9397-08002B2CF9AE}" pid="4" name="geodilabeltime">
    <vt:lpwstr>datetime=2024-04-01T12:45:21.492Z</vt:lpwstr>
  </property>
</Properties>
</file>